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653">
        <w:rPr>
          <w:rFonts w:ascii="Times New Roman" w:hAnsi="Times New Roman" w:cs="Times New Roman"/>
          <w:sz w:val="28"/>
          <w:szCs w:val="28"/>
          <w:lang w:val="uk-UA"/>
        </w:rPr>
        <w:t xml:space="preserve">Мелітопольський державний педагогічний університет </w:t>
      </w:r>
    </w:p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653">
        <w:rPr>
          <w:rFonts w:ascii="Times New Roman" w:hAnsi="Times New Roman" w:cs="Times New Roman"/>
          <w:sz w:val="28"/>
          <w:szCs w:val="28"/>
          <w:lang w:val="uk-UA"/>
        </w:rPr>
        <w:t>імені Богдана Хмельницького</w:t>
      </w:r>
    </w:p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4C7653">
        <w:rPr>
          <w:rFonts w:ascii="Times New Roman" w:hAnsi="Times New Roman" w:cs="Times New Roman"/>
          <w:sz w:val="28"/>
          <w:szCs w:val="28"/>
          <w:lang w:val="uk-UA"/>
        </w:rPr>
        <w:t>ілологічний факультет</w:t>
      </w:r>
    </w:p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638C" w:rsidRDefault="00D0040A" w:rsidP="00D004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C7653">
        <w:rPr>
          <w:rFonts w:ascii="Times New Roman" w:hAnsi="Times New Roman" w:cs="Times New Roman"/>
          <w:sz w:val="28"/>
          <w:szCs w:val="28"/>
          <w:lang w:val="uk-UA"/>
        </w:rPr>
        <w:t xml:space="preserve">афедра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методики викладання германських</w:t>
      </w:r>
      <w:r w:rsidRPr="004C7653"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</w:p>
    <w:p w:rsidR="00D0040A" w:rsidRDefault="00D0040A" w:rsidP="00D004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Default="00D0040A" w:rsidP="00D0040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0040A" w:rsidTr="00D0040A">
        <w:trPr>
          <w:trHeight w:val="2378"/>
        </w:trPr>
        <w:tc>
          <w:tcPr>
            <w:tcW w:w="4360" w:type="dxa"/>
          </w:tcPr>
          <w:p w:rsidR="00D0040A" w:rsidRPr="004C7653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0040A" w:rsidRPr="004C7653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 кафедри</w:t>
            </w:r>
          </w:p>
          <w:p w:rsidR="00D0040A" w:rsidRPr="004C7653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методики викладання </w:t>
            </w:r>
          </w:p>
          <w:p w:rsidR="00D0040A" w:rsidRPr="004C7653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германських</w:t>
            </w: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</w:t>
            </w:r>
          </w:p>
          <w:p w:rsidR="00D0040A" w:rsidRDefault="00D0040A" w:rsidP="00D004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кафедри:</w:t>
            </w:r>
          </w:p>
          <w:p w:rsidR="00D0040A" w:rsidRDefault="00D0040A" w:rsidP="00D004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_______________/ С.Ю. Гуров</w:t>
            </w:r>
          </w:p>
          <w:p w:rsidR="00D0040A" w:rsidRPr="00D0040A" w:rsidRDefault="00D0040A" w:rsidP="00D0040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4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 від 28.08.2020 р.</w:t>
            </w:r>
          </w:p>
          <w:p w:rsidR="00D0040A" w:rsidRPr="00D0040A" w:rsidRDefault="00D0040A" w:rsidP="00D0040A">
            <w:pPr>
              <w:jc w:val="center"/>
              <w:rPr>
                <w:lang w:val="uk-UA"/>
              </w:rPr>
            </w:pPr>
          </w:p>
        </w:tc>
      </w:tr>
    </w:tbl>
    <w:p w:rsidR="00D0040A" w:rsidRPr="004C7653" w:rsidRDefault="00D0040A" w:rsidP="00D0040A">
      <w:pPr>
        <w:pStyle w:val="2"/>
        <w:numPr>
          <w:ilvl w:val="1"/>
          <w:numId w:val="1"/>
        </w:numPr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4C7653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4C7653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D0040A" w:rsidRPr="004C7653" w:rsidRDefault="00D0040A" w:rsidP="00D00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40A" w:rsidRDefault="00D0040A" w:rsidP="00D004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653">
        <w:rPr>
          <w:rFonts w:ascii="Times New Roman" w:hAnsi="Times New Roman" w:cs="Times New Roman"/>
          <w:b/>
          <w:sz w:val="28"/>
          <w:szCs w:val="28"/>
          <w:lang w:val="uk-UA"/>
        </w:rPr>
        <w:t>ОХОРОНА ПРАЦІ В ГАЛУЗІ</w:t>
      </w:r>
    </w:p>
    <w:p w:rsidR="00D0040A" w:rsidRP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D0040A">
        <w:rPr>
          <w:rFonts w:ascii="Times New Roman" w:hAnsi="Times New Roman" w:cs="Times New Roman"/>
          <w:sz w:val="28"/>
          <w:szCs w:val="28"/>
          <w:lang w:val="uk-UA"/>
        </w:rPr>
        <w:t xml:space="preserve">Рівень вищої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40A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40A">
        <w:rPr>
          <w:rFonts w:ascii="Times New Roman" w:hAnsi="Times New Roman" w:cs="Times New Roman"/>
          <w:sz w:val="28"/>
          <w:szCs w:val="28"/>
          <w:u w:val="single"/>
          <w:lang w:val="uk-UA"/>
        </w:rPr>
        <w:t>другий (магістерський)</w:t>
      </w:r>
      <w:r w:rsidRPr="00D00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040A" w:rsidRPr="00D0040A" w:rsidRDefault="00D0040A" w:rsidP="00D0040A">
      <w:pPr>
        <w:spacing w:before="24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D0040A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</w:t>
      </w:r>
      <w:r w:rsidRPr="00D0040A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03 </w:t>
      </w:r>
      <w:r w:rsidRPr="00D0040A">
        <w:rPr>
          <w:rFonts w:ascii="Times New Roman" w:hAnsi="Times New Roman" w:cs="Times New Roman"/>
          <w:sz w:val="28"/>
          <w:szCs w:val="28"/>
          <w:u w:val="single"/>
          <w:lang w:val="uk-UA"/>
        </w:rPr>
        <w:t>Гуманітарні науки</w:t>
      </w:r>
      <w:r w:rsidRPr="00D00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0040A" w:rsidRPr="00D0040A" w:rsidRDefault="00D0040A" w:rsidP="00D0040A">
      <w:pPr>
        <w:spacing w:before="240"/>
        <w:ind w:firstLine="28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0040A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D00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004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035.041 Філологія. Германські мови та літератури (переклад включно) </w:t>
      </w:r>
    </w:p>
    <w:p w:rsid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D0040A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040A">
        <w:rPr>
          <w:rFonts w:ascii="Times New Roman" w:hAnsi="Times New Roman" w:cs="Times New Roman"/>
          <w:sz w:val="28"/>
          <w:szCs w:val="28"/>
          <w:u w:val="single"/>
          <w:lang w:val="uk-UA"/>
        </w:rPr>
        <w:t>Філологія. Германські мови та літератури (переклад включно), перша – англійська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Default="00D0040A" w:rsidP="00D0040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D0040A" w:rsidRDefault="00D0040A" w:rsidP="00D0040A">
      <w:p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653">
        <w:rPr>
          <w:rFonts w:ascii="Times New Roman" w:hAnsi="Times New Roman" w:cs="Times New Roman"/>
          <w:sz w:val="28"/>
          <w:szCs w:val="28"/>
          <w:lang w:val="uk-UA"/>
        </w:rPr>
        <w:t>Мелітополь,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Розробник</w:t>
      </w:r>
      <w:r w:rsidRPr="004C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4C7653">
        <w:rPr>
          <w:rFonts w:ascii="Times New Roman" w:hAnsi="Times New Roman" w:cs="Times New Roman"/>
          <w:bCs/>
          <w:sz w:val="28"/>
          <w:szCs w:val="28"/>
          <w:lang w:val="uk-UA"/>
        </w:rPr>
        <w:t>Коноваленко</w:t>
      </w:r>
      <w:proofErr w:type="spellEnd"/>
      <w:r w:rsidRPr="004C76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Т.В., кандидат педагогічних наук, доцент</w:t>
      </w: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Default="004E7DC9" w:rsidP="004E7DC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DC9" w:rsidRPr="004E7DC9" w:rsidRDefault="004E7DC9" w:rsidP="004E7DC9">
      <w:pPr>
        <w:pStyle w:val="a4"/>
        <w:jc w:val="both"/>
        <w:rPr>
          <w:lang w:val="uk-UA"/>
        </w:rPr>
      </w:pPr>
      <w:r w:rsidRPr="004E7DC9">
        <w:rPr>
          <w:lang w:val="uk-UA"/>
        </w:rPr>
        <w:t xml:space="preserve">ПОГОДЖЕНО: </w:t>
      </w:r>
    </w:p>
    <w:p w:rsidR="004E7DC9" w:rsidRDefault="004E7DC9" w:rsidP="004E7DC9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DC9">
        <w:rPr>
          <w:rFonts w:ascii="Times New Roman" w:hAnsi="Times New Roman" w:cs="Times New Roman"/>
          <w:lang w:val="uk-UA"/>
        </w:rPr>
        <w:t xml:space="preserve">  </w:t>
      </w:r>
      <w:r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освітньої програми     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Насалевич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</w:p>
    <w:p w:rsidR="004E7DC9" w:rsidRPr="004E7DC9" w:rsidRDefault="004E7DC9" w:rsidP="004E7DC9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DC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</w:p>
    <w:p w:rsidR="004E7DC9" w:rsidRDefault="004E7DC9" w:rsidP="004E7DC9">
      <w:pPr>
        <w:ind w:left="360"/>
        <w:jc w:val="both"/>
        <w:rPr>
          <w:lang w:val="uk-UA"/>
        </w:rPr>
      </w:pPr>
      <w:r w:rsidRPr="00292530">
        <w:rPr>
          <w:lang w:val="uk-UA"/>
        </w:rPr>
        <w:t xml:space="preserve"> </w:t>
      </w:r>
    </w:p>
    <w:p w:rsidR="00427292" w:rsidRDefault="00427292" w:rsidP="004E7DC9">
      <w:pPr>
        <w:ind w:left="360"/>
        <w:jc w:val="both"/>
        <w:rPr>
          <w:lang w:val="uk-UA"/>
        </w:rPr>
      </w:pPr>
    </w:p>
    <w:p w:rsidR="00427292" w:rsidRPr="004C7653" w:rsidRDefault="00427292" w:rsidP="00427292">
      <w:pPr>
        <w:pageBreakBefore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76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1.</w:t>
      </w:r>
      <w:r w:rsidRPr="004C76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C76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:rsidR="00427292" w:rsidRPr="004C7653" w:rsidRDefault="00427292" w:rsidP="00427292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38"/>
        <w:gridCol w:w="16"/>
        <w:gridCol w:w="1756"/>
      </w:tblGrid>
      <w:tr w:rsidR="00427292" w:rsidRPr="004C7653" w:rsidTr="00E67306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Ступінь вищої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алузь знань,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спеціальність, спеціалізація</w:t>
            </w: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27292" w:rsidRPr="004C7653" w:rsidTr="00E67306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427292" w:rsidRPr="004C7653" w:rsidTr="00E67306">
        <w:trPr>
          <w:trHeight w:val="828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 вищої освіти:</w:t>
            </w:r>
          </w:p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 (магістерський)</w:t>
            </w:r>
          </w:p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знань:</w:t>
            </w:r>
          </w:p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03 </w:t>
            </w:r>
            <w:r w:rsidRPr="00A942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Гуманітарні науки</w:t>
            </w:r>
          </w:p>
          <w:p w:rsidR="00427292" w:rsidRPr="00A94279" w:rsidRDefault="00427292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Спеціальн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ість: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27292" w:rsidRDefault="00427292" w:rsidP="00E67306">
            <w:pPr>
              <w:shd w:val="clear" w:color="auto" w:fill="FFFFFF"/>
              <w:tabs>
                <w:tab w:val="left" w:pos="6379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D0A2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035.041 Філологія Германські мови та літератури (переклад включно)</w:t>
            </w:r>
          </w:p>
          <w:p w:rsidR="00427292" w:rsidRDefault="00427292" w:rsidP="00E67306">
            <w:pPr>
              <w:shd w:val="clear" w:color="auto" w:fill="FFFFFF"/>
              <w:tabs>
                <w:tab w:val="left" w:pos="6379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427292" w:rsidRDefault="00427292" w:rsidP="00E67306">
            <w:pPr>
              <w:shd w:val="clear" w:color="auto" w:fill="FFFFFF"/>
              <w:tabs>
                <w:tab w:val="left" w:pos="63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9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Освітня програма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427292" w:rsidRPr="00DD0A2B" w:rsidRDefault="00427292" w:rsidP="00E67306">
            <w:pPr>
              <w:shd w:val="clear" w:color="auto" w:fill="FFFFFF"/>
              <w:tabs>
                <w:tab w:val="left" w:pos="637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94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Філологія. Германські мови та літератури (переклад включно), перша – англійська</w:t>
            </w:r>
          </w:p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Обов’язкова</w:t>
            </w:r>
          </w:p>
          <w:p w:rsidR="00427292" w:rsidRPr="004C7653" w:rsidRDefault="00427292" w:rsidP="00E6730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427292" w:rsidRPr="004C7653" w:rsidTr="00E67306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B220F7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Блоків*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427292" w:rsidRPr="00B220F7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тому числі: </w:t>
            </w:r>
          </w:p>
          <w:p w:rsidR="00427292" w:rsidRPr="00B220F7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курсова робота – </w:t>
            </w:r>
          </w:p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val="uk-UA"/>
              </w:rPr>
            </w:pPr>
            <w:r w:rsidRPr="00B220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навчальна практика -</w:t>
            </w: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27292" w:rsidRPr="004C7653" w:rsidTr="00E67306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427292" w:rsidRPr="004C7653" w:rsidTr="00E67306">
        <w:trPr>
          <w:trHeight w:val="232"/>
        </w:trPr>
        <w:tc>
          <w:tcPr>
            <w:tcW w:w="28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427292" w:rsidRPr="004C7653" w:rsidTr="00E67306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Тижневих годин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- 2</w:t>
            </w: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427292" w:rsidRPr="004C7653" w:rsidTr="00E67306">
        <w:trPr>
          <w:trHeight w:val="435"/>
        </w:trPr>
        <w:tc>
          <w:tcPr>
            <w:tcW w:w="28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427292" w:rsidRPr="004C7653" w:rsidTr="00E67306">
        <w:trPr>
          <w:trHeight w:val="284"/>
        </w:trPr>
        <w:tc>
          <w:tcPr>
            <w:tcW w:w="28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427292" w:rsidRPr="004C7653" w:rsidTr="00E67306">
        <w:trPr>
          <w:trHeight w:val="335"/>
        </w:trPr>
        <w:tc>
          <w:tcPr>
            <w:tcW w:w="28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427292" w:rsidRPr="004C7653" w:rsidTr="00E67306">
        <w:trPr>
          <w:trHeight w:val="335"/>
        </w:trPr>
        <w:tc>
          <w:tcPr>
            <w:tcW w:w="28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427292" w:rsidRPr="004C7653" w:rsidTr="00E67306">
        <w:trPr>
          <w:trHeight w:val="335"/>
        </w:trPr>
        <w:tc>
          <w:tcPr>
            <w:tcW w:w="28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Лабораторні</w:t>
            </w:r>
          </w:p>
        </w:tc>
      </w:tr>
      <w:tr w:rsidR="00427292" w:rsidRPr="004C7653" w:rsidTr="00E67306">
        <w:trPr>
          <w:trHeight w:val="318"/>
        </w:trPr>
        <w:tc>
          <w:tcPr>
            <w:tcW w:w="28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27292" w:rsidRPr="004C7653" w:rsidTr="00E67306">
        <w:trPr>
          <w:trHeight w:val="335"/>
        </w:trPr>
        <w:tc>
          <w:tcPr>
            <w:tcW w:w="28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76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427292" w:rsidRPr="004C7653" w:rsidTr="00E67306">
        <w:trPr>
          <w:trHeight w:val="418"/>
        </w:trPr>
        <w:tc>
          <w:tcPr>
            <w:tcW w:w="28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427292" w:rsidRPr="004C7653" w:rsidTr="00E67306">
        <w:trPr>
          <w:trHeight w:val="486"/>
        </w:trPr>
        <w:tc>
          <w:tcPr>
            <w:tcW w:w="28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292" w:rsidRPr="004C7653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292" w:rsidRDefault="00427292" w:rsidP="00E6730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4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контролю:</w:t>
            </w:r>
            <w:r w:rsidRPr="004C7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екзамен</w:t>
            </w:r>
          </w:p>
        </w:tc>
      </w:tr>
    </w:tbl>
    <w:p w:rsidR="00427292" w:rsidRPr="004C7653" w:rsidRDefault="00427292" w:rsidP="00427292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27292" w:rsidRDefault="00427292" w:rsidP="00427292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427292" w:rsidRPr="002732BD" w:rsidRDefault="00570653" w:rsidP="00427292">
      <w:pPr>
        <w:tabs>
          <w:tab w:val="left" w:pos="3900"/>
        </w:tabs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2. </w:t>
      </w:r>
      <w:r w:rsidR="00427292" w:rsidRPr="002732BD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</w:p>
    <w:p w:rsidR="00427292" w:rsidRDefault="00427292" w:rsidP="00427292">
      <w:pPr>
        <w:spacing w:after="0" w:line="360" w:lineRule="auto"/>
        <w:ind w:left="57" w:firstLine="4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32BD">
        <w:rPr>
          <w:rFonts w:ascii="Times New Roman" w:hAnsi="Times New Roman" w:cs="Times New Roman"/>
          <w:sz w:val="28"/>
          <w:szCs w:val="28"/>
          <w:lang w:val="uk-UA"/>
        </w:rPr>
        <w:t xml:space="preserve">Мета навчальної дисципліни полягає у формуванні у майбутніх фахівців (спеціалістів) умінь та </w:t>
      </w:r>
      <w:proofErr w:type="spellStart"/>
      <w:r w:rsidRPr="002732BD">
        <w:rPr>
          <w:rFonts w:ascii="Times New Roman" w:hAnsi="Times New Roman" w:cs="Times New Roman"/>
          <w:sz w:val="28"/>
          <w:szCs w:val="28"/>
          <w:lang w:val="uk-UA"/>
        </w:rPr>
        <w:t>компетенцій</w:t>
      </w:r>
      <w:proofErr w:type="spellEnd"/>
      <w:r w:rsidRPr="002732BD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ефективного управління охороною праці та поліпшення умов праці з урахуванням досягнень науково-технічного прогресу та міжнародного досвіду, а також в усвідомленні нерозривної єдності успішної професійної діяльності з обов’язковим дотриманням усіх вимог безпеки праці в освітянській діяльності.</w:t>
      </w:r>
    </w:p>
    <w:p w:rsidR="006313C7" w:rsidRPr="002732BD" w:rsidRDefault="006313C7" w:rsidP="00427292">
      <w:pPr>
        <w:spacing w:after="0" w:line="360" w:lineRule="auto"/>
        <w:ind w:left="57" w:firstLine="4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7292" w:rsidRPr="00423B34" w:rsidRDefault="00427292" w:rsidP="00570653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jc w:val="both"/>
        <w:rPr>
          <w:b/>
          <w:iCs/>
          <w:lang w:val="uk-UA"/>
        </w:rPr>
      </w:pPr>
      <w:r w:rsidRPr="00423B34">
        <w:rPr>
          <w:b/>
          <w:iCs/>
          <w:lang w:val="uk-UA"/>
        </w:rPr>
        <w:t>Перелік к</w:t>
      </w:r>
      <w:proofErr w:type="spellStart"/>
      <w:r w:rsidRPr="00423B34">
        <w:rPr>
          <w:b/>
          <w:iCs/>
        </w:rPr>
        <w:t>омпетентност</w:t>
      </w:r>
      <w:r w:rsidRPr="00423B34">
        <w:rPr>
          <w:b/>
          <w:iCs/>
          <w:lang w:val="uk-UA"/>
        </w:rPr>
        <w:t>ей</w:t>
      </w:r>
      <w:proofErr w:type="spellEnd"/>
      <w:r w:rsidRPr="00423B34">
        <w:rPr>
          <w:b/>
          <w:iCs/>
          <w:lang w:val="uk-UA"/>
        </w:rPr>
        <w:t>, які набуваються під час опанування дисципліною:</w:t>
      </w:r>
    </w:p>
    <w:p w:rsidR="00570653" w:rsidRPr="002732BD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>
        <w:rPr>
          <w:szCs w:val="28"/>
          <w:lang w:val="uk-UA"/>
        </w:rPr>
        <w:t>У результаті вивчення</w:t>
      </w:r>
      <w:r w:rsidRPr="002732BD">
        <w:rPr>
          <w:szCs w:val="28"/>
          <w:lang w:val="uk-UA"/>
        </w:rPr>
        <w:t xml:space="preserve"> курсу «Охорона праці в галузі» студенти мають опанувати наступні </w:t>
      </w:r>
      <w:r w:rsidRPr="002732BD">
        <w:rPr>
          <w:b/>
          <w:szCs w:val="28"/>
          <w:lang w:val="uk-UA"/>
        </w:rPr>
        <w:t>компетентності</w:t>
      </w:r>
      <w:r w:rsidRPr="002732BD">
        <w:rPr>
          <w:szCs w:val="28"/>
          <w:lang w:val="uk-UA"/>
        </w:rPr>
        <w:t>: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1. Інструментальні компетентності: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Здатність до аналізу і синтезу.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Здатність до організації і планування.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Базові загальні знання.</w:t>
      </w:r>
    </w:p>
    <w:p w:rsidR="00570653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Засвоєння основ базових знань з професії.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Навички управління інформацією (уміння знаходити та аналізувати інформацію з різних джерел).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Розв’язання проблем.</w:t>
      </w:r>
    </w:p>
    <w:p w:rsidR="00570653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Прийняття рішень.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2. Міжособистісні компетентності: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Взаємодія (робота в команді).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Здатність працювати в міждисциплінарній команді.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Здатність спілкуватися з експертами з інших галузей.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Здатність працювати в міжнародному середовищі.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Етичні зобов’язання.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3. Системні компетентності:</w:t>
      </w:r>
    </w:p>
    <w:p w:rsidR="00570653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Здатність застосовувати знання на практиці.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Здатність пристосовуватись до нових ситуацій.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Здатність породжувати нові ідеї (креативність).</w:t>
      </w:r>
    </w:p>
    <w:p w:rsidR="00570653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Лідерські якості.</w:t>
      </w:r>
    </w:p>
    <w:p w:rsidR="00570653" w:rsidRPr="00253217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>• Здатність працювати самостійно.</w:t>
      </w:r>
    </w:p>
    <w:p w:rsidR="00570653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lastRenderedPageBreak/>
        <w:t>• Планування та управління проектами.</w:t>
      </w:r>
    </w:p>
    <w:p w:rsidR="00570653" w:rsidRPr="002732BD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>
        <w:rPr>
          <w:szCs w:val="28"/>
          <w:lang w:val="uk-UA"/>
        </w:rPr>
        <w:t>4. Фахов</w:t>
      </w:r>
      <w:r w:rsidRPr="002732BD">
        <w:rPr>
          <w:szCs w:val="28"/>
          <w:lang w:val="uk-UA"/>
        </w:rPr>
        <w:t>і:</w:t>
      </w:r>
    </w:p>
    <w:p w:rsidR="00570653" w:rsidRPr="002732BD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 xml:space="preserve">• </w:t>
      </w:r>
      <w:r w:rsidRPr="002732BD">
        <w:rPr>
          <w:szCs w:val="28"/>
          <w:lang w:val="uk-UA"/>
        </w:rPr>
        <w:t>базові уявлення про дидактичну систему</w:t>
      </w:r>
      <w:r>
        <w:rPr>
          <w:szCs w:val="28"/>
          <w:lang w:val="uk-UA"/>
        </w:rPr>
        <w:t xml:space="preserve">, сферу застосування професійних </w:t>
      </w:r>
      <w:proofErr w:type="spellStart"/>
      <w:r>
        <w:rPr>
          <w:szCs w:val="28"/>
          <w:lang w:val="uk-UA"/>
        </w:rPr>
        <w:t>комптентностей</w:t>
      </w:r>
      <w:proofErr w:type="spellEnd"/>
      <w:r w:rsidRPr="002732BD">
        <w:rPr>
          <w:szCs w:val="28"/>
          <w:lang w:val="uk-UA"/>
        </w:rPr>
        <w:t>;</w:t>
      </w:r>
    </w:p>
    <w:p w:rsidR="00570653" w:rsidRPr="002732BD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 xml:space="preserve">• </w:t>
      </w:r>
      <w:r w:rsidRPr="002732BD">
        <w:rPr>
          <w:szCs w:val="28"/>
          <w:lang w:val="uk-UA"/>
        </w:rPr>
        <w:t>здатність організувати роботу відповідно до вимог безпеки життєдіяльності й охорони праці;</w:t>
      </w:r>
    </w:p>
    <w:p w:rsidR="00570653" w:rsidRPr="002732BD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 xml:space="preserve">• </w:t>
      </w:r>
      <w:r w:rsidRPr="002732BD">
        <w:rPr>
          <w:szCs w:val="28"/>
          <w:lang w:val="uk-UA"/>
        </w:rPr>
        <w:t>здатність до ділових комунікацій у професійній сфері, знання основ ділового спілкування, навички роботи в команді;</w:t>
      </w:r>
    </w:p>
    <w:p w:rsidR="00570653" w:rsidRPr="002732BD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 xml:space="preserve">• </w:t>
      </w:r>
      <w:r w:rsidRPr="002732BD">
        <w:rPr>
          <w:szCs w:val="28"/>
          <w:lang w:val="uk-UA"/>
        </w:rPr>
        <w:t>здатність керувати процесом сталого функціонування і розвитку навчально-виховної системи;</w:t>
      </w:r>
    </w:p>
    <w:p w:rsidR="00570653" w:rsidRPr="002732BD" w:rsidRDefault="00570653" w:rsidP="00570653">
      <w:pPr>
        <w:pStyle w:val="a5"/>
        <w:spacing w:after="0" w:line="312" w:lineRule="auto"/>
        <w:ind w:left="567"/>
        <w:rPr>
          <w:szCs w:val="28"/>
          <w:lang w:val="uk-UA"/>
        </w:rPr>
      </w:pPr>
      <w:r w:rsidRPr="00253217">
        <w:rPr>
          <w:szCs w:val="28"/>
          <w:lang w:val="uk-UA"/>
        </w:rPr>
        <w:t xml:space="preserve">• </w:t>
      </w:r>
      <w:r w:rsidRPr="002732BD">
        <w:rPr>
          <w:szCs w:val="28"/>
          <w:lang w:val="uk-UA"/>
        </w:rPr>
        <w:t>здатність до професійного удосконалення, підвищення кваліфікації.</w:t>
      </w:r>
    </w:p>
    <w:p w:rsidR="00427292" w:rsidRPr="00292530" w:rsidRDefault="00427292" w:rsidP="00570653">
      <w:pPr>
        <w:ind w:left="360"/>
        <w:jc w:val="both"/>
        <w:rPr>
          <w:lang w:val="uk-UA"/>
        </w:rPr>
      </w:pPr>
    </w:p>
    <w:p w:rsidR="00570653" w:rsidRPr="00570653" w:rsidRDefault="00570653" w:rsidP="00570653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suppressAutoHyphens/>
        <w:spacing w:line="360" w:lineRule="auto"/>
        <w:rPr>
          <w:b/>
          <w:szCs w:val="28"/>
          <w:lang w:val="uk-UA"/>
        </w:rPr>
      </w:pPr>
      <w:r w:rsidRPr="00570653">
        <w:rPr>
          <w:b/>
          <w:szCs w:val="28"/>
          <w:lang w:val="uk-UA"/>
        </w:rPr>
        <w:t>Результати навчання:</w:t>
      </w:r>
    </w:p>
    <w:p w:rsidR="00570653" w:rsidRDefault="00570653" w:rsidP="00570653">
      <w:pPr>
        <w:tabs>
          <w:tab w:val="left" w:pos="284"/>
          <w:tab w:val="left" w:pos="567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Знання 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новітніх теорій, методів і технологій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прогнозування надзвичайної ситуації, побудови моделей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розвитку.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c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Розуміння 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правових та етичних норм, які регулюють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віднос</w:t>
      </w:r>
      <w:r>
        <w:rPr>
          <w:rFonts w:ascii="Times New Roman" w:hAnsi="Times New Roman" w:cs="Times New Roman"/>
          <w:sz w:val="28"/>
          <w:szCs w:val="28"/>
          <w:lang w:val="uk-UA"/>
        </w:rPr>
        <w:t>ини між людьми в професійних колективах.</w:t>
      </w:r>
    </w:p>
    <w:p w:rsidR="00570653" w:rsidRDefault="00570653" w:rsidP="00570653">
      <w:pPr>
        <w:tabs>
          <w:tab w:val="left" w:pos="284"/>
          <w:tab w:val="left" w:pos="567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ува</w:t>
      </w:r>
      <w:r>
        <w:rPr>
          <w:rFonts w:ascii="Times New Roman" w:hAnsi="Times New Roman" w:cs="Times New Roman"/>
          <w:sz w:val="28"/>
          <w:szCs w:val="28"/>
          <w:lang w:val="uk-UA"/>
        </w:rPr>
        <w:t>ння отриманих знань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 xml:space="preserve"> при вирішенні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науково-методичних і навчально-виховних завдань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урахуванням вікових та індивідуально-типологічних,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соціально-психологічних особливостей студентських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колективів і конкретних педагогічних 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0653" w:rsidRDefault="00570653" w:rsidP="00570653">
      <w:pPr>
        <w:tabs>
          <w:tab w:val="left" w:pos="284"/>
          <w:tab w:val="left" w:pos="567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Здатність до в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изначення рівня ризику й обґрунтування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комплексу заходів, спрямованих на відвернення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3AE8">
        <w:rPr>
          <w:rFonts w:ascii="Times New Roman" w:hAnsi="Times New Roman" w:cs="Times New Roman"/>
          <w:sz w:val="28"/>
          <w:szCs w:val="28"/>
          <w:lang w:val="uk-UA"/>
        </w:rPr>
        <w:t>надзвичайної ситуації, захисту персоналу, населення,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7369">
        <w:rPr>
          <w:rFonts w:ascii="Times New Roman" w:hAnsi="Times New Roman" w:cs="Times New Roman"/>
          <w:sz w:val="28"/>
          <w:szCs w:val="28"/>
          <w:lang w:val="uk-UA"/>
        </w:rPr>
        <w:t>матеріальних і культурних цінностей в 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7369">
        <w:rPr>
          <w:rFonts w:ascii="Times New Roman" w:hAnsi="Times New Roman" w:cs="Times New Roman"/>
          <w:sz w:val="28"/>
          <w:szCs w:val="28"/>
          <w:lang w:val="uk-UA"/>
        </w:rPr>
        <w:t>надзвичайної ситуації, локалізації та ліквідації їхніх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7369">
        <w:rPr>
          <w:rFonts w:ascii="Times New Roman" w:hAnsi="Times New Roman" w:cs="Times New Roman"/>
          <w:sz w:val="28"/>
          <w:szCs w:val="28"/>
          <w:lang w:val="uk-UA"/>
        </w:rPr>
        <w:t>наслідків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0653" w:rsidRDefault="00570653" w:rsidP="00570653">
      <w:pPr>
        <w:tabs>
          <w:tab w:val="left" w:pos="284"/>
          <w:tab w:val="left" w:pos="567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77369">
        <w:rPr>
          <w:rFonts w:ascii="Times New Roman" w:hAnsi="Times New Roman" w:cs="Times New Roman"/>
          <w:sz w:val="28"/>
          <w:szCs w:val="28"/>
          <w:lang w:val="uk-UA"/>
        </w:rPr>
        <w:t>нання методів та засобів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7369">
        <w:rPr>
          <w:rFonts w:ascii="Times New Roman" w:hAnsi="Times New Roman" w:cs="Times New Roman"/>
          <w:sz w:val="28"/>
          <w:szCs w:val="28"/>
          <w:lang w:val="uk-UA"/>
        </w:rPr>
        <w:t>охорони праці на підприємствах галузі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DC9" w:rsidRPr="004C7653" w:rsidRDefault="004E7DC9" w:rsidP="00570653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313C7" w:rsidRPr="006313C7" w:rsidRDefault="006313C7" w:rsidP="006313C7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suppressAutoHyphens/>
        <w:spacing w:line="360" w:lineRule="auto"/>
        <w:rPr>
          <w:b/>
          <w:szCs w:val="28"/>
          <w:lang w:val="uk-UA"/>
        </w:rPr>
      </w:pPr>
      <w:r w:rsidRPr="006313C7">
        <w:rPr>
          <w:b/>
          <w:szCs w:val="28"/>
          <w:lang w:val="uk-UA"/>
        </w:rPr>
        <w:t>Програма навчальної дисципліни</w:t>
      </w:r>
    </w:p>
    <w:p w:rsidR="006313C7" w:rsidRPr="002732BD" w:rsidRDefault="006313C7" w:rsidP="006313C7">
      <w:pPr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Блок</w:t>
      </w:r>
      <w:r w:rsidRPr="002732BD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Охорона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невід’ємна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складова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2732BD">
        <w:rPr>
          <w:rFonts w:ascii="Times New Roman" w:hAnsi="Times New Roman" w:cs="Times New Roman"/>
          <w:b/>
          <w:bCs/>
          <w:sz w:val="28"/>
          <w:szCs w:val="28"/>
        </w:rPr>
        <w:t>іальної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відповідальності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313C7" w:rsidRPr="002732BD" w:rsidRDefault="006313C7" w:rsidP="006313C7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32BD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proofErr w:type="spellStart"/>
      <w:proofErr w:type="gram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2732BD">
        <w:rPr>
          <w:rFonts w:ascii="Times New Roman" w:hAnsi="Times New Roman" w:cs="Times New Roman"/>
          <w:b/>
          <w:bCs/>
          <w:sz w:val="28"/>
          <w:szCs w:val="28"/>
        </w:rPr>
        <w:t>іальний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діалог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Європейському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Союзі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13C7" w:rsidRPr="002732BD" w:rsidRDefault="006313C7" w:rsidP="006313C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lastRenderedPageBreak/>
        <w:t>Визначення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принципи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732BD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2732BD">
        <w:rPr>
          <w:rFonts w:ascii="Times New Roman" w:hAnsi="Times New Roman" w:cs="Times New Roman"/>
          <w:bCs/>
          <w:sz w:val="28"/>
          <w:szCs w:val="28"/>
        </w:rPr>
        <w:t>іальної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відповідальності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Міжнародні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норми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соціальної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відповідальності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Законодавча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основа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Євросоюзу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частина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соціальної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політики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ЄС.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Трудові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норми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Міжнародної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організації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Міжнародне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співробітництво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галузі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напрямки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співробітництва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Організація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об’єднаних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націй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Всесвітня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організація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здоров’я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Міжнародна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організація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313C7" w:rsidRPr="002732BD" w:rsidRDefault="006313C7" w:rsidP="006313C7">
      <w:pPr>
        <w:pStyle w:val="44"/>
        <w:spacing w:before="0" w:after="0" w:line="312" w:lineRule="auto"/>
        <w:ind w:firstLine="567"/>
        <w:jc w:val="both"/>
        <w:rPr>
          <w:rFonts w:ascii="Times New Roman" w:hAnsi="Times New Roman"/>
          <w:szCs w:val="28"/>
        </w:rPr>
      </w:pPr>
      <w:r w:rsidRPr="002732BD">
        <w:rPr>
          <w:rFonts w:ascii="Times New Roman" w:hAnsi="Times New Roman"/>
          <w:szCs w:val="28"/>
        </w:rPr>
        <w:t>Тема 2. Основні законодавчі та нормативно-правові акти з охорони праці в галузі</w:t>
      </w:r>
    </w:p>
    <w:p w:rsidR="006313C7" w:rsidRPr="002732BD" w:rsidRDefault="006313C7" w:rsidP="006313C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Законодавчі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нормативно-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правові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акти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галузі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Покажчик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нормативно-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правових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актів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Галузеві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поліпшення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стану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гі</w:t>
      </w:r>
      <w:proofErr w:type="gramStart"/>
      <w:r w:rsidRPr="002732BD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2732BD">
        <w:rPr>
          <w:rFonts w:ascii="Times New Roman" w:hAnsi="Times New Roman" w:cs="Times New Roman"/>
          <w:bCs/>
          <w:sz w:val="28"/>
          <w:szCs w:val="28"/>
        </w:rPr>
        <w:t>ієни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виробничого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середовища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організацію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системи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охороною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галузі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6313C7" w:rsidRPr="002732BD" w:rsidRDefault="006313C7" w:rsidP="006313C7">
      <w:pPr>
        <w:pStyle w:val="44"/>
        <w:spacing w:before="0" w:after="0" w:line="312" w:lineRule="auto"/>
        <w:ind w:firstLine="567"/>
        <w:rPr>
          <w:rFonts w:ascii="Times New Roman" w:hAnsi="Times New Roman"/>
          <w:szCs w:val="28"/>
        </w:rPr>
      </w:pPr>
      <w:r w:rsidRPr="002732BD">
        <w:rPr>
          <w:rFonts w:ascii="Times New Roman" w:hAnsi="Times New Roman"/>
          <w:szCs w:val="28"/>
        </w:rPr>
        <w:t>Тема 3. Система управління охороною праці в організації</w:t>
      </w:r>
    </w:p>
    <w:p w:rsidR="006313C7" w:rsidRPr="002732BD" w:rsidRDefault="006313C7" w:rsidP="006313C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вимоги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побудови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функціонування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системи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охороною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(СУОП).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функціонування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побудова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СУОП в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організації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про СУОП, структура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змі</w:t>
      </w:r>
      <w:proofErr w:type="gramStart"/>
      <w:r w:rsidRPr="002732BD">
        <w:rPr>
          <w:rFonts w:ascii="Times New Roman" w:hAnsi="Times New Roman" w:cs="Times New Roman"/>
          <w:bCs/>
          <w:sz w:val="28"/>
          <w:szCs w:val="28"/>
        </w:rPr>
        <w:t>ст</w:t>
      </w:r>
      <w:proofErr w:type="spellEnd"/>
      <w:proofErr w:type="gram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розділів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Політика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галузі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Пріоритет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функцій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Ефективність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функціональної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структури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СУОП.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Планування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Види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планування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контролю стану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2732BD">
        <w:rPr>
          <w:rFonts w:ascii="Times New Roman" w:hAnsi="Times New Roman" w:cs="Times New Roman"/>
          <w:bCs/>
          <w:sz w:val="28"/>
          <w:szCs w:val="28"/>
        </w:rPr>
        <w:t>Обл</w:t>
      </w:r>
      <w:proofErr w:type="gramEnd"/>
      <w:r w:rsidRPr="002732BD">
        <w:rPr>
          <w:rFonts w:ascii="Times New Roman" w:hAnsi="Times New Roman" w:cs="Times New Roman"/>
          <w:bCs/>
          <w:sz w:val="28"/>
          <w:szCs w:val="28"/>
        </w:rPr>
        <w:t>ік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аналіз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показників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Інтегровані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системи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менеджменту в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галузі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Галузеві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системи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охороною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Мета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принципи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функціонування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Організаційна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функціональна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структури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СУОПГ. </w:t>
      </w:r>
    </w:p>
    <w:p w:rsidR="006313C7" w:rsidRPr="002732BD" w:rsidRDefault="006313C7" w:rsidP="006313C7">
      <w:pPr>
        <w:pStyle w:val="44"/>
        <w:spacing w:before="0" w:after="0" w:line="312" w:lineRule="auto"/>
        <w:ind w:firstLine="567"/>
        <w:jc w:val="both"/>
        <w:rPr>
          <w:rFonts w:ascii="Times New Roman" w:hAnsi="Times New Roman"/>
          <w:szCs w:val="28"/>
        </w:rPr>
      </w:pPr>
      <w:r w:rsidRPr="002732BD">
        <w:rPr>
          <w:rFonts w:ascii="Times New Roman" w:hAnsi="Times New Roman"/>
          <w:szCs w:val="28"/>
        </w:rPr>
        <w:t>Тема 4. Травматизм та професійні захворювання в галузі. Розслідування нещасних випадків.</w:t>
      </w:r>
    </w:p>
    <w:p w:rsidR="006313C7" w:rsidRPr="002732BD" w:rsidRDefault="006313C7" w:rsidP="006313C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6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Загальні положення та визначення. Розслідування та облік нещасних випадків, хронічних професійних захворювань. Розслідування інцидентів та невідповідностей. </w:t>
      </w:r>
      <w:proofErr w:type="spellStart"/>
      <w:proofErr w:type="gramStart"/>
      <w:r w:rsidRPr="002732BD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2732BD">
        <w:rPr>
          <w:rFonts w:ascii="Times New Roman" w:hAnsi="Times New Roman" w:cs="Times New Roman"/>
          <w:bCs/>
          <w:sz w:val="28"/>
          <w:szCs w:val="28"/>
        </w:rPr>
        <w:t>ідження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профілактика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травматизму.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Звітність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інформація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нещасні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випадки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аналіз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причин.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732BD">
        <w:rPr>
          <w:rFonts w:ascii="Times New Roman" w:hAnsi="Times New Roman" w:cs="Times New Roman"/>
          <w:bCs/>
          <w:sz w:val="28"/>
          <w:szCs w:val="28"/>
        </w:rPr>
        <w:t>техн</w:t>
      </w:r>
      <w:proofErr w:type="gramEnd"/>
      <w:r w:rsidRPr="002732BD">
        <w:rPr>
          <w:rFonts w:ascii="Times New Roman" w:hAnsi="Times New Roman" w:cs="Times New Roman"/>
          <w:bCs/>
          <w:sz w:val="28"/>
          <w:szCs w:val="28"/>
        </w:rPr>
        <w:t>ічні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організаційні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заходи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профілактики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травматизму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професійної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захворюваності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галузі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6313C7" w:rsidRPr="002732BD" w:rsidRDefault="006313C7" w:rsidP="006313C7">
      <w:pPr>
        <w:spacing w:after="0" w:line="312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Блок</w:t>
      </w:r>
      <w:r w:rsidRPr="002732BD">
        <w:rPr>
          <w:rFonts w:ascii="Times New Roman" w:hAnsi="Times New Roman" w:cs="Times New Roman"/>
          <w:b/>
          <w:sz w:val="28"/>
          <w:szCs w:val="28"/>
        </w:rPr>
        <w:t xml:space="preserve"> 2. </w:t>
      </w:r>
      <w:proofErr w:type="spellStart"/>
      <w:proofErr w:type="gramStart"/>
      <w:r w:rsidRPr="002732BD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2732BD">
        <w:rPr>
          <w:rFonts w:ascii="Times New Roman" w:hAnsi="Times New Roman" w:cs="Times New Roman"/>
          <w:b/>
          <w:sz w:val="28"/>
          <w:szCs w:val="28"/>
        </w:rPr>
        <w:t>іальні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розділи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професійної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>.</w:t>
      </w:r>
    </w:p>
    <w:p w:rsidR="006313C7" w:rsidRPr="002732BD" w:rsidRDefault="006313C7" w:rsidP="006313C7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32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5.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вимоги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безпеки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галузі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іноземних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bCs/>
          <w:sz w:val="28"/>
          <w:szCs w:val="28"/>
        </w:rPr>
        <w:t>мов</w:t>
      </w:r>
      <w:proofErr w:type="spellEnd"/>
      <w:r w:rsidRPr="002732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313C7" w:rsidRPr="002732BD" w:rsidRDefault="006313C7" w:rsidP="006313C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Аналіз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умов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галузі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показниками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шкідливості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небезпечності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важкості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напруженості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732BD">
        <w:rPr>
          <w:rFonts w:ascii="Times New Roman" w:hAnsi="Times New Roman" w:cs="Times New Roman"/>
          <w:bCs/>
          <w:sz w:val="28"/>
          <w:szCs w:val="28"/>
        </w:rPr>
        <w:t>трудового</w:t>
      </w:r>
      <w:proofErr w:type="gram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процесу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Вимоги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732BD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2732BD">
        <w:rPr>
          <w:rFonts w:ascii="Times New Roman" w:hAnsi="Times New Roman" w:cs="Times New Roman"/>
          <w:bCs/>
          <w:sz w:val="28"/>
          <w:szCs w:val="28"/>
        </w:rPr>
        <w:t>ід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час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експлуатації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основного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технічного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обладнання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Вимоги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розміщення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обладнання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утримання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робочих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місць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електробезпеки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2732BD">
        <w:rPr>
          <w:rFonts w:ascii="Times New Roman" w:hAnsi="Times New Roman" w:cs="Times New Roman"/>
          <w:bCs/>
          <w:sz w:val="28"/>
          <w:szCs w:val="28"/>
        </w:rPr>
        <w:t>Напружен</w:t>
      </w:r>
      <w:proofErr w:type="gramEnd"/>
      <w:r w:rsidRPr="002732BD">
        <w:rPr>
          <w:rFonts w:ascii="Times New Roman" w:hAnsi="Times New Roman" w:cs="Times New Roman"/>
          <w:bCs/>
          <w:sz w:val="28"/>
          <w:szCs w:val="28"/>
        </w:rPr>
        <w:t>ість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Увага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напруженість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аналізаторних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функцій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емоційна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інтелектуальна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напруженість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6313C7" w:rsidRPr="002732BD" w:rsidRDefault="006313C7" w:rsidP="006313C7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2BD">
        <w:rPr>
          <w:rFonts w:ascii="Times New Roman" w:hAnsi="Times New Roman" w:cs="Times New Roman"/>
          <w:b/>
          <w:sz w:val="28"/>
          <w:szCs w:val="28"/>
        </w:rPr>
        <w:t>Тема 6.</w:t>
      </w:r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Державний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нагляд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громадський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732BD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станом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>.</w:t>
      </w:r>
    </w:p>
    <w:p w:rsidR="006313C7" w:rsidRPr="002732BD" w:rsidRDefault="006313C7" w:rsidP="006313C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Органи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732BD">
        <w:rPr>
          <w:rFonts w:ascii="Times New Roman" w:hAnsi="Times New Roman" w:cs="Times New Roman"/>
          <w:bCs/>
          <w:sz w:val="28"/>
          <w:szCs w:val="28"/>
        </w:rPr>
        <w:t>державного</w:t>
      </w:r>
      <w:proofErr w:type="gram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нагляду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охороною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принципи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державного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нагляду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(контролю).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732BD">
        <w:rPr>
          <w:rFonts w:ascii="Times New Roman" w:hAnsi="Times New Roman" w:cs="Times New Roman"/>
          <w:bCs/>
          <w:sz w:val="28"/>
          <w:szCs w:val="28"/>
        </w:rPr>
        <w:t>державного</w:t>
      </w:r>
      <w:proofErr w:type="gram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нагляду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охороною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Види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параметри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наглядових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6313C7" w:rsidRPr="002732BD" w:rsidRDefault="006313C7" w:rsidP="006313C7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2BD">
        <w:rPr>
          <w:rFonts w:ascii="Times New Roman" w:hAnsi="Times New Roman" w:cs="Times New Roman"/>
          <w:b/>
          <w:sz w:val="28"/>
          <w:szCs w:val="28"/>
        </w:rPr>
        <w:t xml:space="preserve">Тема 7.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Здоров’язберігаючі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технології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уроці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іноземної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2732BD">
        <w:rPr>
          <w:rFonts w:ascii="Times New Roman" w:hAnsi="Times New Roman" w:cs="Times New Roman"/>
          <w:b/>
          <w:sz w:val="28"/>
          <w:szCs w:val="28"/>
        </w:rPr>
        <w:t>.</w:t>
      </w:r>
    </w:p>
    <w:p w:rsidR="006313C7" w:rsidRPr="002732BD" w:rsidRDefault="006313C7" w:rsidP="006313C7">
      <w:pPr>
        <w:shd w:val="clear" w:color="auto" w:fill="FFFFFF"/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2BD">
        <w:rPr>
          <w:rFonts w:ascii="Times New Roman" w:hAnsi="Times New Roman" w:cs="Times New Roman"/>
          <w:sz w:val="28"/>
          <w:szCs w:val="28"/>
        </w:rPr>
        <w:t xml:space="preserve">Суть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здоров’язберігаючі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proofErr w:type="gramStart"/>
      <w:r w:rsidRPr="002732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32BD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здоров’язберігаючих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здоров’язберігаючих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2732BD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2732BD">
        <w:rPr>
          <w:rFonts w:ascii="Times New Roman" w:hAnsi="Times New Roman" w:cs="Times New Roman"/>
          <w:sz w:val="28"/>
          <w:szCs w:val="28"/>
        </w:rPr>
        <w:t>ійської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здоров’язберігаючого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>.</w:t>
      </w:r>
    </w:p>
    <w:p w:rsidR="006313C7" w:rsidRPr="002732BD" w:rsidRDefault="006313C7" w:rsidP="006313C7">
      <w:pPr>
        <w:pStyle w:val="44"/>
        <w:spacing w:before="0" w:after="0" w:line="312" w:lineRule="auto"/>
        <w:ind w:firstLine="567"/>
        <w:jc w:val="both"/>
        <w:rPr>
          <w:rFonts w:ascii="Times New Roman" w:hAnsi="Times New Roman"/>
          <w:szCs w:val="28"/>
        </w:rPr>
      </w:pPr>
      <w:r w:rsidRPr="002732BD">
        <w:rPr>
          <w:rFonts w:ascii="Times New Roman" w:hAnsi="Times New Roman"/>
          <w:bCs w:val="0"/>
          <w:szCs w:val="28"/>
        </w:rPr>
        <w:t xml:space="preserve">Тема 8. </w:t>
      </w:r>
      <w:r w:rsidRPr="002732BD">
        <w:rPr>
          <w:rFonts w:ascii="Times New Roman" w:hAnsi="Times New Roman"/>
          <w:szCs w:val="28"/>
        </w:rPr>
        <w:t xml:space="preserve">Соціальне страхування від нещасного випадку </w:t>
      </w:r>
      <w:r w:rsidRPr="002732BD">
        <w:rPr>
          <w:rFonts w:ascii="Times New Roman" w:hAnsi="Times New Roman"/>
          <w:szCs w:val="28"/>
        </w:rPr>
        <w:br/>
        <w:t>та професійного захворювання на виробництві</w:t>
      </w:r>
    </w:p>
    <w:p w:rsidR="006313C7" w:rsidRDefault="006313C7" w:rsidP="006313C7">
      <w:pPr>
        <w:spacing w:after="0" w:line="360" w:lineRule="auto"/>
        <w:ind w:firstLine="57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страхування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нещасного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випадку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Принципи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види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страхування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Суб’єкти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об’єкти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страхування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Види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страхування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Страховий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ризик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і 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страховий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випадок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Права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обов’язки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застрахованої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особи. Права та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обов’язки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роботодавця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страхувальника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6313C7" w:rsidRPr="006313C7" w:rsidRDefault="006313C7" w:rsidP="006313C7">
      <w:pPr>
        <w:spacing w:after="0" w:line="36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313C7" w:rsidRPr="00DE42BC" w:rsidRDefault="006313C7" w:rsidP="006313C7">
      <w:pPr>
        <w:pStyle w:val="a4"/>
        <w:numPr>
          <w:ilvl w:val="0"/>
          <w:numId w:val="4"/>
        </w:numPr>
        <w:rPr>
          <w:b/>
          <w:bCs/>
          <w:szCs w:val="28"/>
          <w:lang w:val="uk-UA"/>
        </w:rPr>
      </w:pPr>
      <w:r w:rsidRPr="00DE42BC"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96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74"/>
        <w:gridCol w:w="629"/>
        <w:gridCol w:w="120"/>
        <w:gridCol w:w="352"/>
        <w:gridCol w:w="95"/>
        <w:gridCol w:w="267"/>
        <w:gridCol w:w="158"/>
        <w:gridCol w:w="453"/>
        <w:gridCol w:w="576"/>
        <w:gridCol w:w="609"/>
        <w:gridCol w:w="931"/>
        <w:gridCol w:w="352"/>
        <w:gridCol w:w="197"/>
        <w:gridCol w:w="291"/>
        <w:gridCol w:w="135"/>
        <w:gridCol w:w="476"/>
        <w:gridCol w:w="576"/>
        <w:gridCol w:w="619"/>
      </w:tblGrid>
      <w:tr w:rsidR="006313C7" w:rsidRPr="002732BD" w:rsidTr="00E67306">
        <w:trPr>
          <w:cantSplit/>
        </w:trPr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68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313C7" w:rsidRPr="002732BD" w:rsidTr="00E67306">
        <w:trPr>
          <w:cantSplit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6313C7" w:rsidRPr="002732BD" w:rsidTr="00E67306">
        <w:trPr>
          <w:cantSplit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ind w:left="-94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ind w:right="-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6313C7" w:rsidRPr="002732BD" w:rsidTr="00E67306">
        <w:trPr>
          <w:cantSplit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</w:tr>
      <w:tr w:rsidR="006313C7" w:rsidRPr="002732BD" w:rsidTr="00E67306">
        <w:trPr>
          <w:cantSplit/>
        </w:trPr>
        <w:tc>
          <w:tcPr>
            <w:tcW w:w="9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Блок</w:t>
            </w:r>
            <w:r w:rsidRPr="002732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1</w:t>
            </w:r>
          </w:p>
        </w:tc>
      </w:tr>
      <w:tr w:rsidR="006313C7" w:rsidRPr="002732BD" w:rsidTr="00E67306">
        <w:trPr>
          <w:cantSplit/>
        </w:trPr>
        <w:tc>
          <w:tcPr>
            <w:tcW w:w="9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3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праці як невід’ємна складова соціальної відповідальності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1. </w:t>
            </w:r>
          </w:p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Соц</w:t>
            </w:r>
            <w:proofErr w:type="gram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іальний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діалог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Європейському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Союзі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Тема 2.</w:t>
            </w: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законодавчі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та нормативно-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правові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акти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</w:t>
            </w:r>
          </w:p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охороною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4.</w:t>
            </w:r>
          </w:p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Травматизм та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професійні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захворювання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Розслідування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нещасних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випадкі</w:t>
            </w:r>
            <w:proofErr w:type="gram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6F0A42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блоко</w:t>
            </w: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 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ind w:right="-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6313C7" w:rsidRPr="002732BD" w:rsidTr="00E67306">
        <w:tc>
          <w:tcPr>
            <w:tcW w:w="9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Блок</w:t>
            </w:r>
            <w:r w:rsidRPr="002732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</w:t>
            </w:r>
          </w:p>
        </w:tc>
      </w:tr>
      <w:tr w:rsidR="006313C7" w:rsidRPr="002732BD" w:rsidTr="00E67306">
        <w:tc>
          <w:tcPr>
            <w:tcW w:w="96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3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 розділи охорони праці в галузі професійної діяльності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5.</w:t>
            </w:r>
          </w:p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Загальні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вимоги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безпеки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галузі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навчання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іноземних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мов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6.</w:t>
            </w: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Державний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нагляд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громадський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станом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</w:t>
            </w: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7.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Здоров’</w:t>
            </w:r>
            <w:r w:rsidR="00E67306">
              <w:rPr>
                <w:rFonts w:ascii="Times New Roman" w:hAnsi="Times New Roman" w:cs="Times New Roman"/>
                <w:sz w:val="28"/>
                <w:szCs w:val="28"/>
              </w:rPr>
              <w:t>язберігаючі</w:t>
            </w:r>
            <w:proofErr w:type="spellEnd"/>
            <w:r w:rsidR="00E67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7306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="00E6730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673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заняттях з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іноземної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8. </w:t>
            </w:r>
            <w:proofErr w:type="spellStart"/>
            <w:proofErr w:type="gram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іальне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страхування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нещасного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випадку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професійного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захворювання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виробництві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EE4CE7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Разом за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блоком</w:t>
            </w:r>
            <w:r w:rsidRPr="002732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EE4CE7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  <w:tr w:rsidR="006313C7" w:rsidRPr="002732BD" w:rsidTr="00E67306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6F0A42" w:rsidRDefault="006313C7" w:rsidP="00E67306">
            <w:pPr>
              <w:pStyle w:val="4"/>
              <w:keepLines w:val="0"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0" w:line="240" w:lineRule="auto"/>
              <w:ind w:left="864" w:hanging="864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proofErr w:type="spellStart"/>
            <w:r w:rsidRPr="006F0A42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Усього</w:t>
            </w:r>
            <w:proofErr w:type="spellEnd"/>
            <w:r w:rsidRPr="006F0A42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годин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ind w:right="-206" w:hanging="1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ind w:right="-328" w:hanging="4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</w:tr>
    </w:tbl>
    <w:p w:rsidR="006313C7" w:rsidRPr="002732BD" w:rsidRDefault="006313C7" w:rsidP="006313C7">
      <w:pPr>
        <w:spacing w:after="0"/>
        <w:ind w:left="7513" w:hanging="425"/>
        <w:rPr>
          <w:rFonts w:ascii="Times New Roman" w:hAnsi="Times New Roman" w:cs="Times New Roman"/>
          <w:sz w:val="28"/>
          <w:szCs w:val="28"/>
          <w:lang w:val="en-US"/>
        </w:rPr>
      </w:pPr>
    </w:p>
    <w:p w:rsidR="006313C7" w:rsidRPr="00DE42BC" w:rsidRDefault="006313C7" w:rsidP="006313C7">
      <w:pPr>
        <w:pStyle w:val="a4"/>
        <w:numPr>
          <w:ilvl w:val="0"/>
          <w:numId w:val="4"/>
        </w:numPr>
        <w:rPr>
          <w:b/>
          <w:szCs w:val="28"/>
          <w:lang w:val="uk-UA"/>
        </w:rPr>
      </w:pPr>
      <w:r w:rsidRPr="00DE42BC">
        <w:rPr>
          <w:b/>
          <w:szCs w:val="28"/>
          <w:lang w:val="uk-UA"/>
        </w:rPr>
        <w:t>Теми лекцій</w:t>
      </w:r>
    </w:p>
    <w:p w:rsidR="006313C7" w:rsidRPr="00DE42BC" w:rsidRDefault="006313C7" w:rsidP="006313C7">
      <w:pPr>
        <w:pStyle w:val="a4"/>
        <w:rPr>
          <w:b/>
          <w:szCs w:val="28"/>
          <w:lang w:val="uk-UA"/>
        </w:rPr>
      </w:pP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6313C7" w:rsidRPr="002732BD" w:rsidRDefault="006313C7" w:rsidP="00E67306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6313C7" w:rsidRPr="002732BD" w:rsidRDefault="006313C7" w:rsidP="00E67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Соц</w:t>
            </w:r>
            <w:proofErr w:type="gram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іальний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діалог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Європейському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Союзі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законодавчі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та нормативно-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правові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акти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охороною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4C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Травматизм та професійні захворювання в галузі. Розслідування нещасних випадків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Загальні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вимоги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безпеки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галузі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навчання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іноземних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мов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Державний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нагляд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громадський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станом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Здоров’язберігаючі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уроці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іноземної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іальне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страхування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нещасного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випадку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професійного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захворювання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виробництві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</w:tbl>
    <w:p w:rsidR="006313C7" w:rsidRDefault="006313C7" w:rsidP="006313C7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3C7" w:rsidRDefault="006313C7" w:rsidP="006313C7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3C7" w:rsidRDefault="006313C7" w:rsidP="006313C7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3C7" w:rsidRPr="00827C10" w:rsidRDefault="006313C7" w:rsidP="006313C7">
      <w:pPr>
        <w:pStyle w:val="a4"/>
        <w:numPr>
          <w:ilvl w:val="0"/>
          <w:numId w:val="4"/>
        </w:numPr>
        <w:rPr>
          <w:b/>
          <w:szCs w:val="28"/>
          <w:lang w:val="uk-UA"/>
        </w:rPr>
      </w:pPr>
      <w:r w:rsidRPr="00827C10">
        <w:rPr>
          <w:b/>
          <w:szCs w:val="28"/>
          <w:lang w:val="uk-UA"/>
        </w:rPr>
        <w:t>Теми практичних занять</w:t>
      </w:r>
    </w:p>
    <w:tbl>
      <w:tblPr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6313C7" w:rsidRPr="002732BD" w:rsidRDefault="006313C7" w:rsidP="00E67306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6313C7" w:rsidRPr="002732BD" w:rsidRDefault="006313C7" w:rsidP="00E673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Соц</w:t>
            </w:r>
            <w:proofErr w:type="gram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іальний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діалог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Європейському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Союзі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законодавчі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та нормативно-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правові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акти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охороною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4C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Травматизм та професійні захворювання в галузі. Розслідування нещасних випадків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Загальні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вимоги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безпеки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галузі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навчання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іноземних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мов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Державний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нагляд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громадський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станом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Здоров’язберігаючі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уроці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іноземної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</w:tbl>
    <w:p w:rsidR="006313C7" w:rsidRPr="002732BD" w:rsidRDefault="006313C7" w:rsidP="006313C7">
      <w:pPr>
        <w:spacing w:after="0"/>
        <w:ind w:left="7513" w:hanging="694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2732BD" w:rsidRDefault="006313C7" w:rsidP="006313C7">
      <w:pPr>
        <w:spacing w:after="0"/>
        <w:ind w:left="7513" w:hanging="425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827C10" w:rsidRDefault="006313C7" w:rsidP="006313C7">
      <w:pPr>
        <w:pStyle w:val="a4"/>
        <w:numPr>
          <w:ilvl w:val="0"/>
          <w:numId w:val="4"/>
        </w:numPr>
        <w:rPr>
          <w:b/>
          <w:szCs w:val="28"/>
          <w:lang w:val="uk-UA"/>
        </w:rPr>
      </w:pPr>
      <w:r w:rsidRPr="00827C10">
        <w:rPr>
          <w:b/>
          <w:szCs w:val="28"/>
          <w:lang w:val="uk-UA"/>
        </w:rPr>
        <w:t>Самостійна робота</w:t>
      </w:r>
    </w:p>
    <w:p w:rsidR="006313C7" w:rsidRPr="002732BD" w:rsidRDefault="006313C7" w:rsidP="006313C7">
      <w:pPr>
        <w:spacing w:after="0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07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8368"/>
      </w:tblGrid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6313C7" w:rsidRPr="002732BD" w:rsidRDefault="006313C7" w:rsidP="00E67306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Соц</w:t>
            </w:r>
            <w:proofErr w:type="gram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іальний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діалог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Європейському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Союзі</w:t>
            </w:r>
            <w:proofErr w:type="spellEnd"/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законодавчі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та нормативно-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правові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акти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галузі</w:t>
            </w:r>
            <w:proofErr w:type="spellEnd"/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охороною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4C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Травматизм та професійні захворювання в галузі. Розслідування нещасних випадків</w:t>
            </w:r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Загальні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вимоги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безпеки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галузі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навчання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іноземних</w:t>
            </w:r>
            <w:proofErr w:type="spellEnd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bCs/>
                <w:sz w:val="28"/>
                <w:szCs w:val="28"/>
              </w:rPr>
              <w:t>мов</w:t>
            </w:r>
            <w:proofErr w:type="spellEnd"/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Державний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нагляд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громадський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станом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2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Здоров’язберігаючі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уроці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іноземної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</w:p>
        </w:tc>
      </w:tr>
      <w:tr w:rsidR="006313C7" w:rsidRPr="002732BD" w:rsidTr="00E6730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3C7" w:rsidRPr="002732BD" w:rsidRDefault="006313C7" w:rsidP="00E6730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іальне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страхування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нещасного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випадку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професійного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захворювання</w:t>
            </w:r>
            <w:proofErr w:type="spellEnd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732BD">
              <w:rPr>
                <w:rFonts w:ascii="Times New Roman" w:hAnsi="Times New Roman" w:cs="Times New Roman"/>
                <w:sz w:val="28"/>
                <w:szCs w:val="28"/>
              </w:rPr>
              <w:t>виробництві</w:t>
            </w:r>
            <w:proofErr w:type="spellEnd"/>
          </w:p>
        </w:tc>
      </w:tr>
    </w:tbl>
    <w:p w:rsidR="006313C7" w:rsidRPr="002732BD" w:rsidRDefault="006313C7" w:rsidP="006313C7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40A" w:rsidRDefault="006313C7" w:rsidP="006313C7">
      <w:pPr>
        <w:pStyle w:val="a4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line="360" w:lineRule="auto"/>
        <w:ind w:left="357" w:firstLine="352"/>
        <w:jc w:val="both"/>
        <w:rPr>
          <w:b/>
          <w:lang w:val="uk-UA"/>
        </w:rPr>
      </w:pPr>
      <w:r w:rsidRPr="006313C7">
        <w:rPr>
          <w:b/>
          <w:lang w:val="uk-UA"/>
        </w:rPr>
        <w:t xml:space="preserve"> Методи навчання:</w:t>
      </w:r>
    </w:p>
    <w:p w:rsidR="006313C7" w:rsidRP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3C7">
        <w:rPr>
          <w:rFonts w:ascii="Times New Roman" w:hAnsi="Times New Roman" w:cs="Times New Roman"/>
          <w:sz w:val="28"/>
          <w:szCs w:val="28"/>
          <w:lang w:val="uk-UA"/>
        </w:rPr>
        <w:t>Основні методи навчання: словесні, наочні і практичні.</w:t>
      </w:r>
    </w:p>
    <w:p w:rsidR="006313C7" w:rsidRP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3C7">
        <w:rPr>
          <w:rFonts w:ascii="Times New Roman" w:hAnsi="Times New Roman" w:cs="Times New Roman"/>
          <w:sz w:val="28"/>
          <w:szCs w:val="28"/>
          <w:lang w:val="uk-UA"/>
        </w:rPr>
        <w:t>Словесні методи: бесіда, пояснення, розповідь, лекція, проблемна лекція, навчальна дискусія, самостійна робота, інтерактивні методи.</w:t>
      </w:r>
    </w:p>
    <w:p w:rsidR="006313C7" w:rsidRP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3C7">
        <w:rPr>
          <w:rFonts w:ascii="Times New Roman" w:hAnsi="Times New Roman" w:cs="Times New Roman"/>
          <w:sz w:val="28"/>
          <w:szCs w:val="28"/>
          <w:lang w:val="uk-UA"/>
        </w:rPr>
        <w:t>Наочні методи: ілюстрування, демонстрація, спостереження, презентація.</w:t>
      </w:r>
    </w:p>
    <w:p w:rsid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13C7">
        <w:rPr>
          <w:rFonts w:ascii="Times New Roman" w:hAnsi="Times New Roman" w:cs="Times New Roman"/>
          <w:sz w:val="28"/>
          <w:szCs w:val="28"/>
          <w:lang w:val="uk-UA"/>
        </w:rPr>
        <w:t>Практичні методи: практичні роботи, конспектування лекції, самостійний науково-критичний аналіз документів.</w:t>
      </w:r>
    </w:p>
    <w:p w:rsid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B92F8F" w:rsidRDefault="006313C7" w:rsidP="006313C7">
      <w:pPr>
        <w:pStyle w:val="3"/>
        <w:numPr>
          <w:ilvl w:val="0"/>
          <w:numId w:val="4"/>
        </w:num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Форми і м</w:t>
      </w:r>
      <w:r w:rsidRPr="00B92F8F">
        <w:rPr>
          <w:rFonts w:ascii="Times New Roman" w:hAnsi="Times New Roman" w:cs="Times New Roman"/>
          <w:b/>
          <w:sz w:val="28"/>
          <w:szCs w:val="28"/>
          <w:lang w:val="uk-UA"/>
        </w:rPr>
        <w:t>етоди контролю</w:t>
      </w:r>
    </w:p>
    <w:p w:rsidR="006313C7" w:rsidRPr="00B92F8F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>ля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цінювання результатів навчання будуть використані 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>усний, письмовий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модульний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 xml:space="preserve">, тестовий контроль, </w:t>
      </w:r>
      <w:r>
        <w:rPr>
          <w:rFonts w:ascii="Times New Roman" w:hAnsi="Times New Roman" w:cs="Times New Roman"/>
          <w:sz w:val="28"/>
          <w:szCs w:val="28"/>
          <w:lang w:val="uk-UA"/>
        </w:rPr>
        <w:t>опитування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 xml:space="preserve"> під час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практичних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занять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 xml:space="preserve">, контролю виконання завдань самостійної роботи (реферати, </w:t>
      </w:r>
      <w:r>
        <w:rPr>
          <w:rFonts w:ascii="Times New Roman" w:hAnsi="Times New Roman" w:cs="Times New Roman"/>
          <w:sz w:val="28"/>
          <w:szCs w:val="28"/>
          <w:lang w:val="uk-UA"/>
        </w:rPr>
        <w:t>презентації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 xml:space="preserve"> тощо), </w:t>
      </w:r>
      <w:r>
        <w:rPr>
          <w:rFonts w:ascii="Times New Roman" w:hAnsi="Times New Roman" w:cs="Times New Roman"/>
          <w:sz w:val="28"/>
          <w:szCs w:val="28"/>
          <w:lang w:val="uk-UA"/>
        </w:rPr>
        <w:t>підсумковий (семестровий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>) контрол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92F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3C7" w:rsidRPr="006313C7" w:rsidRDefault="006313C7" w:rsidP="006313C7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suppressAutoHyphens/>
        <w:spacing w:line="360" w:lineRule="auto"/>
        <w:rPr>
          <w:b/>
          <w:szCs w:val="28"/>
          <w:lang w:val="uk-UA"/>
        </w:rPr>
      </w:pPr>
      <w:r w:rsidRPr="006313C7">
        <w:rPr>
          <w:b/>
          <w:szCs w:val="28"/>
          <w:lang w:val="uk-UA"/>
        </w:rPr>
        <w:t xml:space="preserve">Критерії оцінювання </w:t>
      </w:r>
    </w:p>
    <w:p w:rsidR="006313C7" w:rsidRPr="00D77369" w:rsidRDefault="006313C7" w:rsidP="006313C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369">
        <w:rPr>
          <w:rFonts w:ascii="Times New Roman" w:hAnsi="Times New Roman" w:cs="Times New Roman"/>
          <w:sz w:val="28"/>
          <w:szCs w:val="28"/>
          <w:lang w:val="uk-UA"/>
        </w:rPr>
        <w:t xml:space="preserve">Критерієм успішного проходження здобувачем вищої освіти підсумкового оцінювання є досягнення ним мінімальних </w:t>
      </w:r>
      <w:proofErr w:type="spellStart"/>
      <w:r w:rsidRPr="00D77369">
        <w:rPr>
          <w:rFonts w:ascii="Times New Roman" w:hAnsi="Times New Roman" w:cs="Times New Roman"/>
          <w:sz w:val="28"/>
          <w:szCs w:val="28"/>
          <w:lang w:val="uk-UA"/>
        </w:rPr>
        <w:t>порогових</w:t>
      </w:r>
      <w:proofErr w:type="spellEnd"/>
      <w:r w:rsidRPr="00D77369">
        <w:rPr>
          <w:rFonts w:ascii="Times New Roman" w:hAnsi="Times New Roman" w:cs="Times New Roman"/>
          <w:sz w:val="28"/>
          <w:szCs w:val="28"/>
          <w:lang w:val="uk-UA"/>
        </w:rPr>
        <w:t xml:space="preserve"> рівнів оцінок за кожним запланованим результатом вивчення дисципліни.</w:t>
      </w:r>
    </w:p>
    <w:p w:rsidR="006313C7" w:rsidRDefault="006313C7" w:rsidP="006313C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369">
        <w:rPr>
          <w:rFonts w:ascii="Times New Roman" w:hAnsi="Times New Roman" w:cs="Times New Roman"/>
          <w:sz w:val="28"/>
          <w:szCs w:val="28"/>
          <w:lang w:val="uk-UA"/>
        </w:rPr>
        <w:t>Оцінювання результатів навчання здобувачів вищої освіти здійснюється відповідно до положення №283 від 29.08.2017 р. «Про бально-накопичувальну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Хмельницького».</w:t>
      </w:r>
    </w:p>
    <w:p w:rsidR="003D6517" w:rsidRPr="003D6517" w:rsidRDefault="003D6517" w:rsidP="003D651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517">
        <w:rPr>
          <w:rFonts w:ascii="Times New Roman" w:hAnsi="Times New Roman" w:cs="Times New Roman"/>
          <w:sz w:val="28"/>
          <w:szCs w:val="28"/>
          <w:lang w:val="uk-UA"/>
        </w:rPr>
        <w:t>За семестр з курсу дисципліни проводяться два періодичні контролі (ПКР), результати яких є складником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60 % від максимальної кількості балів за контрольну точку (КТ), тобто 30 балів. А 40 %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</w:r>
      <w:proofErr w:type="spellStart"/>
      <w:r w:rsidRPr="003D6517">
        <w:rPr>
          <w:rFonts w:ascii="Times New Roman" w:hAnsi="Times New Roman" w:cs="Times New Roman"/>
          <w:sz w:val="28"/>
          <w:szCs w:val="28"/>
          <w:lang w:val="uk-UA"/>
        </w:rPr>
        <w:t>Хср</w:t>
      </w:r>
      <w:proofErr w:type="spellEnd"/>
      <w:r w:rsidRPr="003D6517">
        <w:rPr>
          <w:rFonts w:ascii="Times New Roman" w:hAnsi="Times New Roman" w:cs="Times New Roman"/>
          <w:sz w:val="28"/>
          <w:szCs w:val="28"/>
          <w:lang w:val="uk-UA"/>
        </w:rPr>
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</w:r>
      <w:proofErr w:type="spellStart"/>
      <w:r w:rsidRPr="003D6517">
        <w:rPr>
          <w:rFonts w:ascii="Times New Roman" w:hAnsi="Times New Roman" w:cs="Times New Roman"/>
          <w:sz w:val="28"/>
          <w:szCs w:val="28"/>
          <w:lang w:val="uk-UA"/>
        </w:rPr>
        <w:t>Хср</w:t>
      </w:r>
      <w:proofErr w:type="spellEnd"/>
      <w:r w:rsidRPr="003D6517">
        <w:rPr>
          <w:rFonts w:ascii="Times New Roman" w:hAnsi="Times New Roman" w:cs="Times New Roman"/>
          <w:sz w:val="28"/>
          <w:szCs w:val="28"/>
          <w:lang w:val="uk-UA"/>
        </w:rPr>
        <w:t>) в бали, що входять до 40 % балів контрольної точки (КТ), треба скористатися формулою: ПК = (</w:t>
      </w:r>
      <w:proofErr w:type="spellStart"/>
      <w:r w:rsidRPr="003D6517">
        <w:rPr>
          <w:rFonts w:ascii="Times New Roman" w:hAnsi="Times New Roman" w:cs="Times New Roman"/>
          <w:sz w:val="28"/>
          <w:szCs w:val="28"/>
          <w:lang w:val="uk-UA"/>
        </w:rPr>
        <w:t>Хср</w:t>
      </w:r>
      <w:proofErr w:type="spellEnd"/>
      <w:r w:rsidRPr="003D651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D6517">
        <w:rPr>
          <w:rFonts w:ascii="Cambria Math" w:hAnsi="Cambria Math" w:cs="Cambria Math"/>
          <w:sz w:val="28"/>
          <w:szCs w:val="28"/>
          <w:lang w:val="uk-UA"/>
        </w:rPr>
        <w:t>∗</w:t>
      </w:r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20 / 5. Таким чином, якщо за поточний контроль (ПК) видів діяльності студента на всіх заняттях </w:t>
      </w:r>
      <w:proofErr w:type="spellStart"/>
      <w:r w:rsidRPr="003D6517">
        <w:rPr>
          <w:rFonts w:ascii="Times New Roman" w:hAnsi="Times New Roman" w:cs="Times New Roman"/>
          <w:sz w:val="28"/>
          <w:szCs w:val="28"/>
          <w:lang w:val="uk-UA"/>
        </w:rPr>
        <w:t>Хср</w:t>
      </w:r>
      <w:proofErr w:type="spellEnd"/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 = 4.1 бали, які були до періодичного контролю (ПКР), то їх перерахування на 20 балів здійснюється так: ПК = 4.1</w:t>
      </w:r>
      <w:r w:rsidRPr="003D6517">
        <w:rPr>
          <w:rFonts w:ascii="Cambria Math" w:hAnsi="Cambria Math" w:cs="Cambria Math"/>
          <w:sz w:val="28"/>
          <w:szCs w:val="28"/>
          <w:lang w:val="uk-UA"/>
        </w:rPr>
        <w:t>∗</w:t>
      </w:r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20 / 5 = 4.1 * 4 = 16.4 // 16 (балів). За періодичний контроль (ПКР) студентом отримано 30 балів. Тоді за </w:t>
      </w:r>
      <w:r w:rsidRPr="003D65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контрольну точку (КТ) буде отримано КТ = ПК + ПКР = 16 + 30 = 46 (балів). </w:t>
      </w:r>
    </w:p>
    <w:p w:rsidR="003D6517" w:rsidRPr="003D6517" w:rsidRDefault="003D6517" w:rsidP="003D651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517">
        <w:rPr>
          <w:rFonts w:ascii="Times New Roman" w:hAnsi="Times New Roman" w:cs="Times New Roman"/>
          <w:sz w:val="28"/>
          <w:szCs w:val="28"/>
          <w:lang w:val="uk-UA"/>
        </w:rPr>
        <w:t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</w:t>
      </w:r>
      <w:bookmarkStart w:id="0" w:name="_GoBack"/>
      <w:bookmarkEnd w:id="0"/>
      <w:r w:rsidRPr="003D6517">
        <w:rPr>
          <w:rFonts w:ascii="Times New Roman" w:hAnsi="Times New Roman" w:cs="Times New Roman"/>
          <w:sz w:val="28"/>
          <w:szCs w:val="28"/>
          <w:lang w:val="uk-UA"/>
        </w:rPr>
        <w:t xml:space="preserve">цінки. </w:t>
      </w:r>
    </w:p>
    <w:p w:rsidR="006313C7" w:rsidRDefault="003D6517" w:rsidP="003D651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517">
        <w:rPr>
          <w:rFonts w:ascii="Times New Roman" w:hAnsi="Times New Roman" w:cs="Times New Roman"/>
          <w:sz w:val="28"/>
          <w:szCs w:val="28"/>
          <w:lang w:val="uk-UA"/>
        </w:rPr>
        <w:t>Підсумковим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</w:r>
    </w:p>
    <w:p w:rsidR="00DC671E" w:rsidRDefault="00DC671E" w:rsidP="006313C7">
      <w:pPr>
        <w:tabs>
          <w:tab w:val="left" w:pos="284"/>
          <w:tab w:val="left" w:pos="567"/>
        </w:tabs>
        <w:suppressAutoHyphens/>
        <w:spacing w:after="0"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671E" w:rsidRPr="00827C10" w:rsidRDefault="00DC671E" w:rsidP="00DC671E">
      <w:pPr>
        <w:pStyle w:val="a4"/>
        <w:numPr>
          <w:ilvl w:val="0"/>
          <w:numId w:val="4"/>
        </w:numPr>
        <w:shd w:val="clear" w:color="auto" w:fill="FFFFFF"/>
        <w:rPr>
          <w:b/>
          <w:szCs w:val="28"/>
          <w:lang w:val="uk-UA"/>
        </w:rPr>
      </w:pPr>
      <w:r w:rsidRPr="00827C10">
        <w:rPr>
          <w:b/>
          <w:szCs w:val="28"/>
          <w:lang w:val="uk-UA"/>
        </w:rPr>
        <w:t>Рекомендована література</w:t>
      </w:r>
    </w:p>
    <w:p w:rsidR="00DC671E" w:rsidRPr="002732BD" w:rsidRDefault="00DC671E" w:rsidP="00DC671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Основн</w:t>
      </w:r>
      <w:r w:rsidRPr="002732BD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</w:p>
    <w:p w:rsidR="00DC671E" w:rsidRPr="00827C10" w:rsidRDefault="00DC671E" w:rsidP="00DC671E">
      <w:pPr>
        <w:pStyle w:val="a4"/>
        <w:numPr>
          <w:ilvl w:val="0"/>
          <w:numId w:val="7"/>
        </w:numPr>
        <w:spacing w:line="312" w:lineRule="auto"/>
        <w:jc w:val="both"/>
        <w:rPr>
          <w:szCs w:val="28"/>
        </w:rPr>
      </w:pPr>
      <w:proofErr w:type="spellStart"/>
      <w:r w:rsidRPr="00827C10">
        <w:rPr>
          <w:szCs w:val="28"/>
        </w:rPr>
        <w:t>Протоєрейський</w:t>
      </w:r>
      <w:proofErr w:type="spellEnd"/>
      <w:r w:rsidRPr="00827C10">
        <w:rPr>
          <w:szCs w:val="28"/>
        </w:rPr>
        <w:t xml:space="preserve"> О. С, </w:t>
      </w:r>
      <w:proofErr w:type="spellStart"/>
      <w:r w:rsidRPr="00827C10">
        <w:rPr>
          <w:szCs w:val="28"/>
        </w:rPr>
        <w:t>Запорожець</w:t>
      </w:r>
      <w:proofErr w:type="spellEnd"/>
      <w:r w:rsidRPr="00827C10">
        <w:rPr>
          <w:szCs w:val="28"/>
        </w:rPr>
        <w:t xml:space="preserve"> О. І. </w:t>
      </w:r>
      <w:proofErr w:type="spellStart"/>
      <w:r w:rsidRPr="00827C10">
        <w:rPr>
          <w:szCs w:val="28"/>
        </w:rPr>
        <w:t>Охорона</w:t>
      </w:r>
      <w:proofErr w:type="spellEnd"/>
      <w:r w:rsidRPr="00827C10">
        <w:rPr>
          <w:szCs w:val="28"/>
        </w:rPr>
        <w:t xml:space="preserve"> </w:t>
      </w:r>
      <w:proofErr w:type="spellStart"/>
      <w:r w:rsidRPr="00827C10">
        <w:rPr>
          <w:szCs w:val="28"/>
        </w:rPr>
        <w:t>праці</w:t>
      </w:r>
      <w:proofErr w:type="spellEnd"/>
      <w:r w:rsidRPr="00827C10">
        <w:rPr>
          <w:szCs w:val="28"/>
        </w:rPr>
        <w:t xml:space="preserve"> в </w:t>
      </w:r>
      <w:proofErr w:type="spellStart"/>
      <w:r w:rsidRPr="00827C10">
        <w:rPr>
          <w:szCs w:val="28"/>
        </w:rPr>
        <w:t>галузі</w:t>
      </w:r>
      <w:proofErr w:type="spellEnd"/>
      <w:r w:rsidRPr="00827C10">
        <w:rPr>
          <w:szCs w:val="28"/>
        </w:rPr>
        <w:t xml:space="preserve">: </w:t>
      </w:r>
      <w:proofErr w:type="spellStart"/>
      <w:r w:rsidRPr="00827C10">
        <w:rPr>
          <w:szCs w:val="28"/>
        </w:rPr>
        <w:t>Навч</w:t>
      </w:r>
      <w:proofErr w:type="spellEnd"/>
      <w:r w:rsidRPr="00827C10">
        <w:rPr>
          <w:szCs w:val="28"/>
        </w:rPr>
        <w:t xml:space="preserve">. </w:t>
      </w:r>
      <w:proofErr w:type="spellStart"/>
      <w:proofErr w:type="gramStart"/>
      <w:r w:rsidRPr="00827C10">
        <w:rPr>
          <w:szCs w:val="28"/>
        </w:rPr>
        <w:t>пос</w:t>
      </w:r>
      <w:proofErr w:type="gramEnd"/>
      <w:r w:rsidRPr="00827C10">
        <w:rPr>
          <w:szCs w:val="28"/>
        </w:rPr>
        <w:t>іб</w:t>
      </w:r>
      <w:proofErr w:type="spellEnd"/>
      <w:r w:rsidRPr="00827C10">
        <w:rPr>
          <w:szCs w:val="28"/>
        </w:rPr>
        <w:t xml:space="preserve">. – К.: </w:t>
      </w:r>
      <w:proofErr w:type="spellStart"/>
      <w:r w:rsidRPr="00827C10">
        <w:rPr>
          <w:szCs w:val="28"/>
        </w:rPr>
        <w:t>Книжкове</w:t>
      </w:r>
      <w:proofErr w:type="spellEnd"/>
      <w:r w:rsidRPr="00827C10">
        <w:rPr>
          <w:szCs w:val="28"/>
        </w:rPr>
        <w:t xml:space="preserve"> вид-во НАУ, 2005. – 268 с.</w:t>
      </w:r>
    </w:p>
    <w:p w:rsidR="00DC671E" w:rsidRPr="00827C10" w:rsidRDefault="00DC671E" w:rsidP="00DC671E">
      <w:pPr>
        <w:pStyle w:val="a4"/>
        <w:numPr>
          <w:ilvl w:val="0"/>
          <w:numId w:val="7"/>
        </w:numPr>
        <w:spacing w:line="312" w:lineRule="auto"/>
        <w:jc w:val="both"/>
        <w:rPr>
          <w:szCs w:val="28"/>
        </w:rPr>
      </w:pPr>
      <w:proofErr w:type="spellStart"/>
      <w:r w:rsidRPr="00827C10">
        <w:rPr>
          <w:szCs w:val="28"/>
        </w:rPr>
        <w:t>Русаловський</w:t>
      </w:r>
      <w:proofErr w:type="spellEnd"/>
      <w:r w:rsidRPr="00827C10">
        <w:rPr>
          <w:szCs w:val="28"/>
        </w:rPr>
        <w:t xml:space="preserve"> А. В. </w:t>
      </w:r>
      <w:proofErr w:type="spellStart"/>
      <w:r w:rsidRPr="00827C10">
        <w:rPr>
          <w:szCs w:val="28"/>
        </w:rPr>
        <w:t>Правові</w:t>
      </w:r>
      <w:proofErr w:type="spellEnd"/>
      <w:r w:rsidRPr="00827C10">
        <w:rPr>
          <w:szCs w:val="28"/>
        </w:rPr>
        <w:t xml:space="preserve"> та </w:t>
      </w:r>
      <w:proofErr w:type="spellStart"/>
      <w:r w:rsidRPr="00827C10">
        <w:rPr>
          <w:szCs w:val="28"/>
        </w:rPr>
        <w:t>організаційні</w:t>
      </w:r>
      <w:proofErr w:type="spellEnd"/>
      <w:r w:rsidRPr="00827C10">
        <w:rPr>
          <w:szCs w:val="28"/>
        </w:rPr>
        <w:t xml:space="preserve"> </w:t>
      </w:r>
      <w:proofErr w:type="spellStart"/>
      <w:r w:rsidRPr="00827C10">
        <w:rPr>
          <w:szCs w:val="28"/>
        </w:rPr>
        <w:t>питання</w:t>
      </w:r>
      <w:proofErr w:type="spellEnd"/>
      <w:r w:rsidRPr="00827C10">
        <w:rPr>
          <w:szCs w:val="28"/>
        </w:rPr>
        <w:t xml:space="preserve"> </w:t>
      </w:r>
      <w:proofErr w:type="spellStart"/>
      <w:r w:rsidRPr="00827C10">
        <w:rPr>
          <w:szCs w:val="28"/>
        </w:rPr>
        <w:t>охорони</w:t>
      </w:r>
      <w:proofErr w:type="spellEnd"/>
      <w:r w:rsidRPr="00827C10">
        <w:rPr>
          <w:szCs w:val="28"/>
        </w:rPr>
        <w:t xml:space="preserve"> </w:t>
      </w:r>
      <w:proofErr w:type="spellStart"/>
      <w:r w:rsidRPr="00827C10">
        <w:rPr>
          <w:szCs w:val="28"/>
        </w:rPr>
        <w:t>праці</w:t>
      </w:r>
      <w:proofErr w:type="spellEnd"/>
      <w:r w:rsidRPr="00827C10">
        <w:rPr>
          <w:szCs w:val="28"/>
        </w:rPr>
        <w:t xml:space="preserve">: </w:t>
      </w:r>
      <w:proofErr w:type="spellStart"/>
      <w:r w:rsidRPr="00827C10">
        <w:rPr>
          <w:szCs w:val="28"/>
        </w:rPr>
        <w:t>Навч</w:t>
      </w:r>
      <w:proofErr w:type="spellEnd"/>
      <w:r w:rsidRPr="00827C10">
        <w:rPr>
          <w:szCs w:val="28"/>
        </w:rPr>
        <w:t>. </w:t>
      </w:r>
      <w:proofErr w:type="spellStart"/>
      <w:proofErr w:type="gramStart"/>
      <w:r w:rsidRPr="00827C10">
        <w:rPr>
          <w:szCs w:val="28"/>
        </w:rPr>
        <w:t>пос</w:t>
      </w:r>
      <w:proofErr w:type="gramEnd"/>
      <w:r w:rsidRPr="00827C10">
        <w:rPr>
          <w:szCs w:val="28"/>
        </w:rPr>
        <w:t>іб</w:t>
      </w:r>
      <w:proofErr w:type="spellEnd"/>
      <w:r w:rsidRPr="00827C10">
        <w:rPr>
          <w:szCs w:val="28"/>
        </w:rPr>
        <w:t xml:space="preserve">. – 4-те вид., </w:t>
      </w:r>
      <w:proofErr w:type="spellStart"/>
      <w:r w:rsidRPr="00827C10">
        <w:rPr>
          <w:szCs w:val="28"/>
        </w:rPr>
        <w:t>допов</w:t>
      </w:r>
      <w:proofErr w:type="spellEnd"/>
      <w:r w:rsidRPr="00827C10">
        <w:rPr>
          <w:szCs w:val="28"/>
        </w:rPr>
        <w:t xml:space="preserve">. і </w:t>
      </w:r>
      <w:proofErr w:type="spellStart"/>
      <w:r w:rsidRPr="00827C10">
        <w:rPr>
          <w:szCs w:val="28"/>
        </w:rPr>
        <w:t>перероб</w:t>
      </w:r>
      <w:proofErr w:type="spellEnd"/>
      <w:r w:rsidRPr="00827C10">
        <w:rPr>
          <w:szCs w:val="28"/>
        </w:rPr>
        <w:t xml:space="preserve">. – К.: </w:t>
      </w:r>
      <w:proofErr w:type="spellStart"/>
      <w:r w:rsidRPr="00827C10">
        <w:rPr>
          <w:szCs w:val="28"/>
        </w:rPr>
        <w:t>Університет</w:t>
      </w:r>
      <w:proofErr w:type="spellEnd"/>
      <w:r w:rsidRPr="00827C10">
        <w:rPr>
          <w:szCs w:val="28"/>
        </w:rPr>
        <w:t xml:space="preserve"> «</w:t>
      </w:r>
      <w:proofErr w:type="spellStart"/>
      <w:r w:rsidRPr="00827C10">
        <w:rPr>
          <w:szCs w:val="28"/>
        </w:rPr>
        <w:t>Україна</w:t>
      </w:r>
      <w:proofErr w:type="spellEnd"/>
      <w:r w:rsidRPr="00827C10">
        <w:rPr>
          <w:szCs w:val="28"/>
        </w:rPr>
        <w:t>», 2009. – 295 с.</w:t>
      </w:r>
    </w:p>
    <w:p w:rsidR="00DC671E" w:rsidRPr="00827C10" w:rsidRDefault="00DC671E" w:rsidP="00DC671E">
      <w:pPr>
        <w:pStyle w:val="a4"/>
        <w:numPr>
          <w:ilvl w:val="0"/>
          <w:numId w:val="7"/>
        </w:numPr>
        <w:spacing w:line="312" w:lineRule="auto"/>
        <w:jc w:val="both"/>
        <w:rPr>
          <w:szCs w:val="28"/>
        </w:rPr>
      </w:pPr>
      <w:r w:rsidRPr="00827C10">
        <w:rPr>
          <w:szCs w:val="28"/>
        </w:rPr>
        <w:t xml:space="preserve">Третьяков О.В., </w:t>
      </w:r>
      <w:proofErr w:type="spellStart"/>
      <w:r w:rsidRPr="00827C10">
        <w:rPr>
          <w:szCs w:val="28"/>
        </w:rPr>
        <w:t>Зацарний</w:t>
      </w:r>
      <w:proofErr w:type="spellEnd"/>
      <w:r w:rsidRPr="00827C10">
        <w:rPr>
          <w:szCs w:val="28"/>
        </w:rPr>
        <w:t xml:space="preserve"> В.В., </w:t>
      </w:r>
      <w:proofErr w:type="spellStart"/>
      <w:r w:rsidRPr="00827C10">
        <w:rPr>
          <w:szCs w:val="28"/>
        </w:rPr>
        <w:t>Безсонний</w:t>
      </w:r>
      <w:proofErr w:type="spellEnd"/>
      <w:r w:rsidRPr="00827C10">
        <w:rPr>
          <w:szCs w:val="28"/>
        </w:rPr>
        <w:t xml:space="preserve"> В.Л. </w:t>
      </w:r>
      <w:proofErr w:type="spellStart"/>
      <w:r w:rsidRPr="00827C10">
        <w:rPr>
          <w:szCs w:val="28"/>
        </w:rPr>
        <w:t>Охорона</w:t>
      </w:r>
      <w:proofErr w:type="spellEnd"/>
      <w:r w:rsidRPr="00827C10">
        <w:rPr>
          <w:szCs w:val="28"/>
        </w:rPr>
        <w:t xml:space="preserve"> </w:t>
      </w:r>
      <w:proofErr w:type="spellStart"/>
      <w:r w:rsidRPr="00827C10">
        <w:rPr>
          <w:szCs w:val="28"/>
        </w:rPr>
        <w:t>праці</w:t>
      </w:r>
      <w:proofErr w:type="spellEnd"/>
      <w:r w:rsidRPr="00827C10">
        <w:rPr>
          <w:szCs w:val="28"/>
        </w:rPr>
        <w:t xml:space="preserve">: </w:t>
      </w:r>
      <w:proofErr w:type="spellStart"/>
      <w:r w:rsidRPr="00827C10">
        <w:rPr>
          <w:szCs w:val="28"/>
        </w:rPr>
        <w:t>Навчальний</w:t>
      </w:r>
      <w:proofErr w:type="spellEnd"/>
      <w:r w:rsidRPr="00827C10">
        <w:rPr>
          <w:szCs w:val="28"/>
        </w:rPr>
        <w:t xml:space="preserve"> </w:t>
      </w:r>
      <w:proofErr w:type="spellStart"/>
      <w:proofErr w:type="gramStart"/>
      <w:r w:rsidRPr="00827C10">
        <w:rPr>
          <w:szCs w:val="28"/>
        </w:rPr>
        <w:t>пос</w:t>
      </w:r>
      <w:proofErr w:type="gramEnd"/>
      <w:r w:rsidRPr="00827C10">
        <w:rPr>
          <w:szCs w:val="28"/>
        </w:rPr>
        <w:t>ібник</w:t>
      </w:r>
      <w:proofErr w:type="spellEnd"/>
      <w:r w:rsidRPr="00827C10">
        <w:rPr>
          <w:szCs w:val="28"/>
        </w:rPr>
        <w:t xml:space="preserve"> з </w:t>
      </w:r>
      <w:proofErr w:type="spellStart"/>
      <w:r w:rsidRPr="00827C10">
        <w:rPr>
          <w:szCs w:val="28"/>
        </w:rPr>
        <w:t>тестовим</w:t>
      </w:r>
      <w:proofErr w:type="spellEnd"/>
      <w:r w:rsidRPr="00827C10">
        <w:rPr>
          <w:szCs w:val="28"/>
        </w:rPr>
        <w:t xml:space="preserve"> комплексом на CD/ за ред. К.Н. Ткачука. – К.: </w:t>
      </w:r>
      <w:proofErr w:type="spellStart"/>
      <w:r w:rsidRPr="00827C10">
        <w:rPr>
          <w:szCs w:val="28"/>
        </w:rPr>
        <w:t>Знання</w:t>
      </w:r>
      <w:proofErr w:type="spellEnd"/>
      <w:r w:rsidRPr="00827C10">
        <w:rPr>
          <w:szCs w:val="28"/>
        </w:rPr>
        <w:t>, 2010. – 167 с. + компакт-диск.</w:t>
      </w:r>
    </w:p>
    <w:p w:rsidR="00DC671E" w:rsidRPr="00827C10" w:rsidRDefault="00DC671E" w:rsidP="00DC671E">
      <w:pPr>
        <w:pStyle w:val="a4"/>
        <w:numPr>
          <w:ilvl w:val="0"/>
          <w:numId w:val="7"/>
        </w:numPr>
        <w:spacing w:line="312" w:lineRule="auto"/>
        <w:jc w:val="both"/>
        <w:rPr>
          <w:szCs w:val="28"/>
        </w:rPr>
      </w:pPr>
      <w:proofErr w:type="spellStart"/>
      <w:r w:rsidRPr="00827C10">
        <w:rPr>
          <w:szCs w:val="28"/>
        </w:rPr>
        <w:t>Гогіташвілі</w:t>
      </w:r>
      <w:proofErr w:type="spellEnd"/>
      <w:r w:rsidRPr="00827C10">
        <w:rPr>
          <w:szCs w:val="28"/>
        </w:rPr>
        <w:t xml:space="preserve"> Г. Г., </w:t>
      </w:r>
      <w:proofErr w:type="spellStart"/>
      <w:r w:rsidRPr="00827C10">
        <w:rPr>
          <w:szCs w:val="28"/>
        </w:rPr>
        <w:t>Карчевські</w:t>
      </w:r>
      <w:proofErr w:type="spellEnd"/>
      <w:r w:rsidRPr="00827C10">
        <w:rPr>
          <w:szCs w:val="28"/>
        </w:rPr>
        <w:t xml:space="preserve"> Є.-Т., </w:t>
      </w:r>
      <w:proofErr w:type="spellStart"/>
      <w:r w:rsidRPr="00827C10">
        <w:rPr>
          <w:szCs w:val="28"/>
        </w:rPr>
        <w:t>Лапін</w:t>
      </w:r>
      <w:proofErr w:type="spellEnd"/>
      <w:r w:rsidRPr="00827C10">
        <w:rPr>
          <w:szCs w:val="28"/>
        </w:rPr>
        <w:t xml:space="preserve"> В. М. </w:t>
      </w:r>
      <w:proofErr w:type="spellStart"/>
      <w:r w:rsidRPr="00827C10">
        <w:rPr>
          <w:szCs w:val="28"/>
        </w:rPr>
        <w:t>Управління</w:t>
      </w:r>
      <w:proofErr w:type="spellEnd"/>
      <w:r w:rsidRPr="00827C10">
        <w:rPr>
          <w:szCs w:val="28"/>
        </w:rPr>
        <w:t xml:space="preserve"> </w:t>
      </w:r>
      <w:proofErr w:type="spellStart"/>
      <w:r w:rsidRPr="00827C10">
        <w:rPr>
          <w:szCs w:val="28"/>
        </w:rPr>
        <w:t>охороною</w:t>
      </w:r>
      <w:proofErr w:type="spellEnd"/>
      <w:r w:rsidRPr="00827C10">
        <w:rPr>
          <w:szCs w:val="28"/>
        </w:rPr>
        <w:t xml:space="preserve"> </w:t>
      </w:r>
      <w:proofErr w:type="spellStart"/>
      <w:r w:rsidRPr="00827C10">
        <w:rPr>
          <w:szCs w:val="28"/>
        </w:rPr>
        <w:t>праці</w:t>
      </w:r>
      <w:proofErr w:type="spellEnd"/>
      <w:r w:rsidRPr="00827C10">
        <w:rPr>
          <w:szCs w:val="28"/>
        </w:rPr>
        <w:t xml:space="preserve"> та </w:t>
      </w:r>
      <w:proofErr w:type="spellStart"/>
      <w:r w:rsidRPr="00827C10">
        <w:rPr>
          <w:szCs w:val="28"/>
        </w:rPr>
        <w:t>ризиком</w:t>
      </w:r>
      <w:proofErr w:type="spellEnd"/>
      <w:r w:rsidRPr="00827C10">
        <w:rPr>
          <w:szCs w:val="28"/>
        </w:rPr>
        <w:t xml:space="preserve"> за </w:t>
      </w:r>
      <w:proofErr w:type="spellStart"/>
      <w:r w:rsidRPr="00827C10">
        <w:rPr>
          <w:szCs w:val="28"/>
        </w:rPr>
        <w:t>міжнародними</w:t>
      </w:r>
      <w:proofErr w:type="spellEnd"/>
      <w:r w:rsidRPr="00827C10">
        <w:rPr>
          <w:szCs w:val="28"/>
        </w:rPr>
        <w:t xml:space="preserve"> стандартами: </w:t>
      </w:r>
      <w:proofErr w:type="spellStart"/>
      <w:r w:rsidRPr="00827C10">
        <w:rPr>
          <w:szCs w:val="28"/>
        </w:rPr>
        <w:t>Навч</w:t>
      </w:r>
      <w:proofErr w:type="spellEnd"/>
      <w:r w:rsidRPr="00827C10">
        <w:rPr>
          <w:szCs w:val="28"/>
        </w:rPr>
        <w:t xml:space="preserve">. </w:t>
      </w:r>
      <w:proofErr w:type="spellStart"/>
      <w:proofErr w:type="gramStart"/>
      <w:r w:rsidRPr="00827C10">
        <w:rPr>
          <w:szCs w:val="28"/>
        </w:rPr>
        <w:t>пос</w:t>
      </w:r>
      <w:proofErr w:type="gramEnd"/>
      <w:r w:rsidRPr="00827C10">
        <w:rPr>
          <w:szCs w:val="28"/>
        </w:rPr>
        <w:t>іб</w:t>
      </w:r>
      <w:proofErr w:type="spellEnd"/>
      <w:r w:rsidRPr="00827C10">
        <w:rPr>
          <w:szCs w:val="28"/>
        </w:rPr>
        <w:t xml:space="preserve">. – К.: </w:t>
      </w:r>
      <w:proofErr w:type="spellStart"/>
      <w:r w:rsidRPr="00827C10">
        <w:rPr>
          <w:szCs w:val="28"/>
        </w:rPr>
        <w:t>Знання</w:t>
      </w:r>
      <w:proofErr w:type="spellEnd"/>
      <w:r w:rsidRPr="00827C10">
        <w:rPr>
          <w:szCs w:val="28"/>
        </w:rPr>
        <w:t>, 2007. – 367 с.</w:t>
      </w:r>
    </w:p>
    <w:p w:rsidR="00DC671E" w:rsidRPr="00827C10" w:rsidRDefault="00DC671E" w:rsidP="00DC671E">
      <w:pPr>
        <w:pStyle w:val="a4"/>
        <w:numPr>
          <w:ilvl w:val="0"/>
          <w:numId w:val="7"/>
        </w:numPr>
        <w:spacing w:line="312" w:lineRule="auto"/>
        <w:jc w:val="both"/>
        <w:rPr>
          <w:szCs w:val="28"/>
        </w:rPr>
      </w:pPr>
      <w:r w:rsidRPr="00827C10">
        <w:rPr>
          <w:szCs w:val="28"/>
        </w:rPr>
        <w:t xml:space="preserve">Катренко Л.А., </w:t>
      </w:r>
      <w:proofErr w:type="spellStart"/>
      <w:r w:rsidRPr="00827C10">
        <w:rPr>
          <w:szCs w:val="28"/>
        </w:rPr>
        <w:t>Кіт</w:t>
      </w:r>
      <w:proofErr w:type="spellEnd"/>
      <w:r w:rsidRPr="00827C10">
        <w:rPr>
          <w:szCs w:val="28"/>
        </w:rPr>
        <w:t xml:space="preserve"> Ю.В., </w:t>
      </w:r>
      <w:proofErr w:type="spellStart"/>
      <w:proofErr w:type="gramStart"/>
      <w:r w:rsidRPr="00827C10">
        <w:rPr>
          <w:szCs w:val="28"/>
        </w:rPr>
        <w:t>П</w:t>
      </w:r>
      <w:proofErr w:type="gramEnd"/>
      <w:r w:rsidRPr="00827C10">
        <w:rPr>
          <w:szCs w:val="28"/>
        </w:rPr>
        <w:t>істун</w:t>
      </w:r>
      <w:proofErr w:type="spellEnd"/>
      <w:r w:rsidRPr="00827C10">
        <w:rPr>
          <w:szCs w:val="28"/>
        </w:rPr>
        <w:t xml:space="preserve"> І. П. </w:t>
      </w:r>
      <w:proofErr w:type="spellStart"/>
      <w:r w:rsidRPr="00827C10">
        <w:rPr>
          <w:szCs w:val="28"/>
        </w:rPr>
        <w:t>Охорона</w:t>
      </w:r>
      <w:proofErr w:type="spellEnd"/>
      <w:r w:rsidRPr="00827C10">
        <w:rPr>
          <w:szCs w:val="28"/>
        </w:rPr>
        <w:t xml:space="preserve"> </w:t>
      </w:r>
      <w:proofErr w:type="spellStart"/>
      <w:r w:rsidRPr="00827C10">
        <w:rPr>
          <w:szCs w:val="28"/>
        </w:rPr>
        <w:t>праці</w:t>
      </w:r>
      <w:proofErr w:type="spellEnd"/>
      <w:r w:rsidRPr="00827C10">
        <w:rPr>
          <w:szCs w:val="28"/>
        </w:rPr>
        <w:t xml:space="preserve">. Курс </w:t>
      </w:r>
      <w:proofErr w:type="spellStart"/>
      <w:r w:rsidRPr="00827C10">
        <w:rPr>
          <w:szCs w:val="28"/>
        </w:rPr>
        <w:t>лекцій</w:t>
      </w:r>
      <w:proofErr w:type="spellEnd"/>
      <w:r w:rsidRPr="00827C10">
        <w:rPr>
          <w:szCs w:val="28"/>
        </w:rPr>
        <w:t xml:space="preserve">. Практикум: </w:t>
      </w:r>
      <w:proofErr w:type="spellStart"/>
      <w:r w:rsidRPr="00827C10">
        <w:rPr>
          <w:szCs w:val="28"/>
        </w:rPr>
        <w:t>Навч</w:t>
      </w:r>
      <w:proofErr w:type="spellEnd"/>
      <w:r w:rsidRPr="00827C10">
        <w:rPr>
          <w:szCs w:val="28"/>
        </w:rPr>
        <w:t xml:space="preserve">. </w:t>
      </w:r>
      <w:proofErr w:type="spellStart"/>
      <w:proofErr w:type="gramStart"/>
      <w:r w:rsidRPr="00827C10">
        <w:rPr>
          <w:szCs w:val="28"/>
        </w:rPr>
        <w:t>пос</w:t>
      </w:r>
      <w:proofErr w:type="gramEnd"/>
      <w:r w:rsidRPr="00827C10">
        <w:rPr>
          <w:szCs w:val="28"/>
        </w:rPr>
        <w:t>іб</w:t>
      </w:r>
      <w:proofErr w:type="spellEnd"/>
      <w:r w:rsidRPr="00827C10">
        <w:rPr>
          <w:szCs w:val="28"/>
        </w:rPr>
        <w:t xml:space="preserve">. – </w:t>
      </w:r>
      <w:proofErr w:type="spellStart"/>
      <w:r w:rsidRPr="00827C10">
        <w:rPr>
          <w:szCs w:val="28"/>
        </w:rPr>
        <w:t>Суми</w:t>
      </w:r>
      <w:proofErr w:type="spellEnd"/>
      <w:r w:rsidRPr="00827C10">
        <w:rPr>
          <w:szCs w:val="28"/>
        </w:rPr>
        <w:t xml:space="preserve">: </w:t>
      </w:r>
      <w:proofErr w:type="spellStart"/>
      <w:r w:rsidRPr="00827C10">
        <w:rPr>
          <w:szCs w:val="28"/>
        </w:rPr>
        <w:t>Університетська</w:t>
      </w:r>
      <w:proofErr w:type="spellEnd"/>
      <w:r w:rsidRPr="00827C10">
        <w:rPr>
          <w:szCs w:val="28"/>
        </w:rPr>
        <w:t xml:space="preserve"> книга, 2009. – 540 с.</w:t>
      </w:r>
    </w:p>
    <w:p w:rsidR="00DC671E" w:rsidRPr="00827C10" w:rsidRDefault="00DC671E" w:rsidP="00DC671E">
      <w:pPr>
        <w:pStyle w:val="a4"/>
        <w:numPr>
          <w:ilvl w:val="0"/>
          <w:numId w:val="7"/>
        </w:numPr>
        <w:spacing w:line="312" w:lineRule="auto"/>
        <w:jc w:val="both"/>
        <w:rPr>
          <w:szCs w:val="28"/>
        </w:rPr>
      </w:pPr>
      <w:r w:rsidRPr="00827C10">
        <w:rPr>
          <w:bCs/>
          <w:szCs w:val="28"/>
          <w:lang w:val="uk-UA"/>
        </w:rPr>
        <w:t>Методичні рекомендації до лекційних і семінарських занять та самостійної роботи з навчальної дисципліни «Охорона праці в галузі» / Уклад. Т.В.</w:t>
      </w:r>
      <w:proofErr w:type="spellStart"/>
      <w:r w:rsidRPr="00827C10">
        <w:rPr>
          <w:bCs/>
          <w:szCs w:val="28"/>
          <w:lang w:val="uk-UA"/>
        </w:rPr>
        <w:t>Коноваленко</w:t>
      </w:r>
      <w:proofErr w:type="spellEnd"/>
      <w:r w:rsidRPr="00827C10">
        <w:rPr>
          <w:bCs/>
          <w:szCs w:val="28"/>
          <w:lang w:val="uk-UA"/>
        </w:rPr>
        <w:t>. – Мелітополь, 2012. – 60 с.</w:t>
      </w:r>
    </w:p>
    <w:p w:rsidR="00DC671E" w:rsidRPr="002732BD" w:rsidRDefault="00DC671E" w:rsidP="00DC671E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732BD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DC671E" w:rsidRPr="002732BD" w:rsidRDefault="00DC671E" w:rsidP="00DC671E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32BD">
        <w:rPr>
          <w:rFonts w:ascii="Times New Roman" w:hAnsi="Times New Roman" w:cs="Times New Roman"/>
          <w:iCs/>
          <w:sz w:val="28"/>
          <w:szCs w:val="28"/>
        </w:rPr>
        <w:t xml:space="preserve">Закон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«Про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охорону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». </w:t>
      </w:r>
    </w:p>
    <w:p w:rsidR="00DC671E" w:rsidRPr="002732BD" w:rsidRDefault="00DC671E" w:rsidP="00DC671E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32BD">
        <w:rPr>
          <w:rFonts w:ascii="Times New Roman" w:hAnsi="Times New Roman" w:cs="Times New Roman"/>
          <w:iCs/>
          <w:sz w:val="28"/>
          <w:szCs w:val="28"/>
        </w:rPr>
        <w:t xml:space="preserve">Кодекс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законі</w:t>
      </w:r>
      <w:proofErr w:type="gramStart"/>
      <w:r w:rsidRPr="002732BD">
        <w:rPr>
          <w:rFonts w:ascii="Times New Roman" w:hAnsi="Times New Roman" w:cs="Times New Roman"/>
          <w:iCs/>
          <w:sz w:val="28"/>
          <w:szCs w:val="28"/>
        </w:rPr>
        <w:t>в</w:t>
      </w:r>
      <w:proofErr w:type="spellEnd"/>
      <w:proofErr w:type="gram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про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працю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DC671E" w:rsidRPr="002732BD" w:rsidRDefault="00DC671E" w:rsidP="00DC671E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32BD">
        <w:rPr>
          <w:rFonts w:ascii="Times New Roman" w:hAnsi="Times New Roman" w:cs="Times New Roman"/>
          <w:iCs/>
          <w:sz w:val="28"/>
          <w:szCs w:val="28"/>
        </w:rPr>
        <w:t xml:space="preserve">Закон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Основи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законодавства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732BD">
        <w:rPr>
          <w:rFonts w:ascii="Times New Roman" w:hAnsi="Times New Roman" w:cs="Times New Roman"/>
          <w:iCs/>
          <w:sz w:val="28"/>
          <w:szCs w:val="28"/>
        </w:rPr>
        <w:t>Укра</w:t>
      </w:r>
      <w:proofErr w:type="gramEnd"/>
      <w:r w:rsidRPr="002732BD">
        <w:rPr>
          <w:rFonts w:ascii="Times New Roman" w:hAnsi="Times New Roman" w:cs="Times New Roman"/>
          <w:iCs/>
          <w:sz w:val="28"/>
          <w:szCs w:val="28"/>
        </w:rPr>
        <w:t>їни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про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охорону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здоров’я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>».</w:t>
      </w:r>
    </w:p>
    <w:p w:rsidR="00DC671E" w:rsidRPr="002732BD" w:rsidRDefault="00DC671E" w:rsidP="00DC671E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32BD">
        <w:rPr>
          <w:rFonts w:ascii="Times New Roman" w:hAnsi="Times New Roman" w:cs="Times New Roman"/>
          <w:iCs/>
          <w:sz w:val="28"/>
          <w:szCs w:val="28"/>
        </w:rPr>
        <w:t xml:space="preserve">Закон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«Про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пожежну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безпеку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». </w:t>
      </w:r>
    </w:p>
    <w:p w:rsidR="00DC671E" w:rsidRPr="002732BD" w:rsidRDefault="00DC671E" w:rsidP="00DC671E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32B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Закон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України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«Про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забезпечення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санітарного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proofErr w:type="gramStart"/>
      <w:r w:rsidRPr="002732BD">
        <w:rPr>
          <w:rFonts w:ascii="Times New Roman" w:hAnsi="Times New Roman" w:cs="Times New Roman"/>
          <w:iCs/>
          <w:sz w:val="28"/>
          <w:szCs w:val="28"/>
        </w:rPr>
        <w:t>еп</w:t>
      </w:r>
      <w:proofErr w:type="gramEnd"/>
      <w:r w:rsidRPr="002732BD">
        <w:rPr>
          <w:rFonts w:ascii="Times New Roman" w:hAnsi="Times New Roman" w:cs="Times New Roman"/>
          <w:iCs/>
          <w:sz w:val="28"/>
          <w:szCs w:val="28"/>
        </w:rPr>
        <w:t>ідемічного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благополуччя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населення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». </w:t>
      </w:r>
    </w:p>
    <w:p w:rsidR="00DC671E" w:rsidRPr="002732BD" w:rsidRDefault="00DC671E" w:rsidP="00DC671E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32BD">
        <w:rPr>
          <w:rFonts w:ascii="Times New Roman" w:hAnsi="Times New Roman" w:cs="Times New Roman"/>
          <w:iCs/>
          <w:sz w:val="28"/>
          <w:szCs w:val="28"/>
        </w:rPr>
        <w:t>НПАОП 0.00-4.03-04 «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Положення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про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Державний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реє</w:t>
      </w:r>
      <w:proofErr w:type="gramStart"/>
      <w:r w:rsidRPr="002732BD">
        <w:rPr>
          <w:rFonts w:ascii="Times New Roman" w:hAnsi="Times New Roman" w:cs="Times New Roman"/>
          <w:iCs/>
          <w:sz w:val="28"/>
          <w:szCs w:val="28"/>
        </w:rPr>
        <w:t>стр</w:t>
      </w:r>
      <w:proofErr w:type="spellEnd"/>
      <w:proofErr w:type="gram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нормативно-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правових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актів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питань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». Наказ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Держнаглядохоронпраці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> 08.06.2004 р. № 151.</w:t>
      </w:r>
    </w:p>
    <w:p w:rsidR="00DC671E" w:rsidRPr="002732BD" w:rsidRDefault="00DC671E" w:rsidP="00DC671E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32BD">
        <w:rPr>
          <w:rFonts w:ascii="Times New Roman" w:hAnsi="Times New Roman" w:cs="Times New Roman"/>
          <w:iCs/>
          <w:sz w:val="28"/>
          <w:szCs w:val="28"/>
        </w:rPr>
        <w:t>НПАОП 0.00-4.09-07 «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Типове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положення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про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комісію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питань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732BD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2732BD">
        <w:rPr>
          <w:rFonts w:ascii="Times New Roman" w:hAnsi="Times New Roman" w:cs="Times New Roman"/>
          <w:iCs/>
          <w:sz w:val="28"/>
          <w:szCs w:val="28"/>
        </w:rPr>
        <w:t>ідприємства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». Наказ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Держгірпромнагляду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 21.03.2007 р. № 55.</w:t>
      </w:r>
    </w:p>
    <w:p w:rsidR="00DC671E" w:rsidRPr="002732BD" w:rsidRDefault="00DC671E" w:rsidP="00DC671E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32BD">
        <w:rPr>
          <w:rFonts w:ascii="Times New Roman" w:hAnsi="Times New Roman" w:cs="Times New Roman"/>
          <w:iCs/>
          <w:sz w:val="28"/>
          <w:szCs w:val="28"/>
        </w:rPr>
        <w:t>НПАОП 0.00-4.12-05 «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Типове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положення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про порядок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проведення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навчання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proofErr w:type="gramStart"/>
      <w:r w:rsidRPr="002732BD">
        <w:rPr>
          <w:rFonts w:ascii="Times New Roman" w:hAnsi="Times New Roman" w:cs="Times New Roman"/>
          <w:iCs/>
          <w:sz w:val="28"/>
          <w:szCs w:val="28"/>
        </w:rPr>
        <w:t>перев</w:t>
      </w:r>
      <w:proofErr w:type="gramEnd"/>
      <w:r w:rsidRPr="002732BD">
        <w:rPr>
          <w:rFonts w:ascii="Times New Roman" w:hAnsi="Times New Roman" w:cs="Times New Roman"/>
          <w:iCs/>
          <w:sz w:val="28"/>
          <w:szCs w:val="28"/>
        </w:rPr>
        <w:t>ірки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знань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питань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». Наказ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Держнаглядохоронпраці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26.01.2005 р. № 15.</w:t>
      </w:r>
    </w:p>
    <w:p w:rsidR="00DC671E" w:rsidRPr="002732BD" w:rsidRDefault="00DC671E" w:rsidP="00DC671E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Рекомендації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щодо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побудови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впровадження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удосконалення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системи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управління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охороною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Затверджено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Головою </w:t>
      </w:r>
      <w:proofErr w:type="spellStart"/>
      <w:r w:rsidRPr="002732BD">
        <w:rPr>
          <w:rFonts w:ascii="Times New Roman" w:hAnsi="Times New Roman" w:cs="Times New Roman"/>
          <w:iCs/>
          <w:sz w:val="28"/>
          <w:szCs w:val="28"/>
        </w:rPr>
        <w:t>Держгірпромнагляду</w:t>
      </w:r>
      <w:proofErr w:type="spellEnd"/>
      <w:r w:rsidRPr="002732BD">
        <w:rPr>
          <w:rFonts w:ascii="Times New Roman" w:hAnsi="Times New Roman" w:cs="Times New Roman"/>
          <w:iCs/>
          <w:sz w:val="28"/>
          <w:szCs w:val="28"/>
        </w:rPr>
        <w:t xml:space="preserve"> 07.02.2008 р.</w:t>
      </w:r>
    </w:p>
    <w:p w:rsidR="00DC671E" w:rsidRPr="002732BD" w:rsidRDefault="00DC671E" w:rsidP="00DC671E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2BD">
        <w:rPr>
          <w:rFonts w:ascii="Times New Roman" w:hAnsi="Times New Roman" w:cs="Times New Roman"/>
          <w:sz w:val="28"/>
          <w:szCs w:val="28"/>
        </w:rPr>
        <w:t>ДСТУ 2293-99 «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понять».</w:t>
      </w:r>
    </w:p>
    <w:p w:rsidR="00DC671E" w:rsidRPr="002732BD" w:rsidRDefault="00DC671E" w:rsidP="00DC671E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Міждержавний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стандарт ГОСТ 12.0.230-2007 ССБТ.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Системи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охороною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Загальні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bCs/>
          <w:sz w:val="28"/>
          <w:szCs w:val="28"/>
        </w:rPr>
        <w:t>вимоги</w:t>
      </w:r>
      <w:proofErr w:type="spellEnd"/>
      <w:r w:rsidRPr="00273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DC671E" w:rsidRPr="002732BD" w:rsidRDefault="00DC671E" w:rsidP="00DC671E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виробництв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32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32BD">
        <w:rPr>
          <w:rFonts w:ascii="Times New Roman" w:hAnsi="Times New Roman" w:cs="Times New Roman"/>
          <w:sz w:val="28"/>
          <w:szCs w:val="28"/>
        </w:rPr>
        <w:t>ідлягають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профілактичним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медичним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оглядам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. Постанова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2732BD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732BD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2001 р. № 559.</w:t>
      </w:r>
    </w:p>
    <w:p w:rsidR="00DC671E" w:rsidRPr="002732BD" w:rsidRDefault="00DC671E" w:rsidP="00DC671E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2BD">
        <w:rPr>
          <w:rFonts w:ascii="Times New Roman" w:hAnsi="Times New Roman" w:cs="Times New Roman"/>
          <w:sz w:val="28"/>
          <w:szCs w:val="28"/>
        </w:rPr>
        <w:t>Директива</w:t>
      </w:r>
      <w:proofErr w:type="gramStart"/>
      <w:r w:rsidRPr="002732BD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2732BD">
        <w:rPr>
          <w:rFonts w:ascii="Times New Roman" w:hAnsi="Times New Roman" w:cs="Times New Roman"/>
          <w:sz w:val="28"/>
          <w:szCs w:val="28"/>
        </w:rPr>
        <w:t xml:space="preserve">ади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Співтовариств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89/391/ЕЕС «Про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поліпшенню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>».</w:t>
      </w:r>
    </w:p>
    <w:p w:rsidR="00DC671E" w:rsidRPr="002732BD" w:rsidRDefault="00DC671E" w:rsidP="00DC671E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МОП 187 «Про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2732B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732BD">
        <w:rPr>
          <w:rFonts w:ascii="Times New Roman" w:hAnsi="Times New Roman" w:cs="Times New Roman"/>
          <w:sz w:val="28"/>
          <w:szCs w:val="28"/>
        </w:rPr>
        <w:t>ієні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>».</w:t>
      </w:r>
    </w:p>
    <w:p w:rsidR="00DC671E" w:rsidRPr="002732BD" w:rsidRDefault="00DC671E" w:rsidP="00DC671E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стандарт SA8000: 2001 «</w:t>
      </w:r>
      <w:proofErr w:type="spellStart"/>
      <w:proofErr w:type="gramStart"/>
      <w:r w:rsidRPr="002732B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2732BD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». </w:t>
      </w:r>
      <w:r w:rsidRPr="002732BD">
        <w:rPr>
          <w:rFonts w:ascii="Times New Roman" w:hAnsi="Times New Roman" w:cs="Times New Roman"/>
          <w:sz w:val="28"/>
          <w:szCs w:val="28"/>
          <w:lang w:val="en-US"/>
        </w:rPr>
        <w:t>SAI SA8000: 2001 Social Accountability International.</w:t>
      </w:r>
    </w:p>
    <w:p w:rsidR="00DC671E" w:rsidRPr="002732BD" w:rsidRDefault="00DC671E" w:rsidP="00DC671E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стандарт ISO 26000:2010 – «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Настанова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proofErr w:type="gramStart"/>
      <w:r w:rsidRPr="002732B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2732BD">
        <w:rPr>
          <w:rFonts w:ascii="Times New Roman" w:hAnsi="Times New Roman" w:cs="Times New Roman"/>
          <w:sz w:val="28"/>
          <w:szCs w:val="28"/>
        </w:rPr>
        <w:t>іальній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>». ISO 26000: 2010 (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Draft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Guidance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Responsibility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>.</w:t>
      </w:r>
    </w:p>
    <w:p w:rsidR="00DC671E" w:rsidRPr="002732BD" w:rsidRDefault="00DC671E" w:rsidP="00DC671E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2732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32BD">
        <w:rPr>
          <w:rFonts w:ascii="Times New Roman" w:hAnsi="Times New Roman" w:cs="Times New Roman"/>
          <w:sz w:val="28"/>
          <w:szCs w:val="28"/>
        </w:rPr>
        <w:t>стандарт</w:t>
      </w:r>
      <w:r w:rsidRPr="002732BD">
        <w:rPr>
          <w:rFonts w:ascii="Times New Roman" w:hAnsi="Times New Roman" w:cs="Times New Roman"/>
          <w:sz w:val="28"/>
          <w:szCs w:val="28"/>
          <w:lang w:val="en-US"/>
        </w:rPr>
        <w:t xml:space="preserve"> OHSAS 18001:2007 Occupational health and safety management systems – Requirements.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732B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732BD">
        <w:rPr>
          <w:rFonts w:ascii="Times New Roman" w:hAnsi="Times New Roman" w:cs="Times New Roman"/>
          <w:sz w:val="28"/>
          <w:szCs w:val="28"/>
        </w:rPr>
        <w:t>.</w:t>
      </w:r>
    </w:p>
    <w:p w:rsidR="00DC671E" w:rsidRPr="00DC671E" w:rsidRDefault="00DC671E" w:rsidP="00DC671E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71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DC6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671E">
        <w:rPr>
          <w:rFonts w:ascii="Times New Roman" w:hAnsi="Times New Roman" w:cs="Times New Roman"/>
          <w:sz w:val="28"/>
          <w:szCs w:val="28"/>
        </w:rPr>
        <w:t>стандарт</w:t>
      </w:r>
      <w:r w:rsidRPr="00DC671E">
        <w:rPr>
          <w:rFonts w:ascii="Times New Roman" w:hAnsi="Times New Roman" w:cs="Times New Roman"/>
          <w:sz w:val="28"/>
          <w:szCs w:val="28"/>
          <w:lang w:val="en-US"/>
        </w:rPr>
        <w:t xml:space="preserve"> OHSAS 18002, Guidelines for the implementation of OHSAS 18001. 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Настанова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впровадженню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 xml:space="preserve"> OHSAS 18001.</w:t>
      </w:r>
    </w:p>
    <w:p w:rsidR="00DC671E" w:rsidRPr="002732BD" w:rsidRDefault="00DC671E" w:rsidP="00DC671E">
      <w:pPr>
        <w:shd w:val="clear" w:color="auto" w:fill="FFFFFF"/>
        <w:tabs>
          <w:tab w:val="left" w:pos="365"/>
        </w:tabs>
        <w:spacing w:after="0" w:line="226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671E" w:rsidRPr="00DC671E" w:rsidRDefault="00DC671E" w:rsidP="00DC671E">
      <w:pPr>
        <w:pStyle w:val="a4"/>
        <w:numPr>
          <w:ilvl w:val="0"/>
          <w:numId w:val="4"/>
        </w:numPr>
        <w:shd w:val="clear" w:color="auto" w:fill="FFFFFF"/>
        <w:tabs>
          <w:tab w:val="left" w:pos="365"/>
        </w:tabs>
        <w:spacing w:line="226" w:lineRule="exact"/>
        <w:rPr>
          <w:b/>
          <w:szCs w:val="28"/>
          <w:lang w:val="uk-UA"/>
        </w:rPr>
      </w:pPr>
      <w:r w:rsidRPr="00DC671E">
        <w:rPr>
          <w:b/>
          <w:szCs w:val="28"/>
          <w:lang w:val="uk-UA"/>
        </w:rPr>
        <w:t>Інформаційні ресурси</w:t>
      </w:r>
      <w:r>
        <w:rPr>
          <w:b/>
          <w:szCs w:val="28"/>
          <w:lang w:val="uk-UA"/>
        </w:rPr>
        <w:t xml:space="preserve"> з мережі Інтернет</w:t>
      </w:r>
    </w:p>
    <w:p w:rsidR="00DC671E" w:rsidRPr="002732BD" w:rsidRDefault="00DC671E" w:rsidP="00DC671E">
      <w:pPr>
        <w:shd w:val="clear" w:color="auto" w:fill="FFFFFF"/>
        <w:tabs>
          <w:tab w:val="left" w:pos="365"/>
        </w:tabs>
        <w:spacing w:after="0" w:line="226" w:lineRule="exact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:rsidR="00DC671E" w:rsidRPr="00DC671E" w:rsidRDefault="00DC671E" w:rsidP="00DC671E">
      <w:pPr>
        <w:numPr>
          <w:ilvl w:val="0"/>
          <w:numId w:val="5"/>
        </w:numPr>
        <w:tabs>
          <w:tab w:val="clear" w:pos="360"/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732BD">
          <w:rPr>
            <w:rStyle w:val="a7"/>
            <w:rFonts w:ascii="Times New Roman" w:hAnsi="Times New Roman" w:cs="Times New Roman"/>
            <w:sz w:val="28"/>
            <w:szCs w:val="28"/>
          </w:rPr>
          <w:t>http://www.mon.gov.ua</w:t>
        </w:r>
      </w:hyperlink>
      <w:r w:rsidRPr="002732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671E">
        <w:rPr>
          <w:rFonts w:ascii="Times New Roman" w:hAnsi="Times New Roman" w:cs="Times New Roman"/>
          <w:sz w:val="28"/>
          <w:szCs w:val="28"/>
        </w:rPr>
        <w:tab/>
      </w:r>
      <w:r w:rsidRPr="00DC671E">
        <w:rPr>
          <w:rFonts w:ascii="Times New Roman" w:hAnsi="Times New Roman" w:cs="Times New Roman"/>
          <w:sz w:val="28"/>
          <w:szCs w:val="28"/>
        </w:rPr>
        <w:noBreakHyphen/>
      </w:r>
      <w:r w:rsidRPr="00DC6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 xml:space="preserve"> і науки</w:t>
      </w:r>
      <w:r w:rsidRPr="00DC6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>.</w:t>
      </w:r>
    </w:p>
    <w:p w:rsidR="00DC671E" w:rsidRPr="00DC671E" w:rsidRDefault="00DC671E" w:rsidP="00DC671E">
      <w:pPr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7C10">
        <w:rPr>
          <w:rStyle w:val="a7"/>
          <w:rFonts w:ascii="Times New Roman" w:hAnsi="Times New Roman" w:cs="Times New Roman"/>
          <w:sz w:val="28"/>
          <w:szCs w:val="28"/>
        </w:rPr>
        <w:t>https://www.dsns.gov.ua/</w:t>
      </w:r>
      <w:r w:rsidRPr="002732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A4A5C">
        <w:rPr>
          <w:rFonts w:ascii="Times New Roman" w:hAnsi="Times New Roman" w:cs="Times New Roman"/>
          <w:sz w:val="28"/>
          <w:szCs w:val="28"/>
        </w:rPr>
        <w:tab/>
      </w:r>
      <w:r w:rsidR="00EA4A5C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spellStart"/>
      <w:r w:rsidR="00EA4A5C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="00EA4A5C">
        <w:rPr>
          <w:rFonts w:ascii="Times New Roman" w:hAnsi="Times New Roman" w:cs="Times New Roman"/>
          <w:sz w:val="28"/>
          <w:szCs w:val="28"/>
        </w:rPr>
        <w:t xml:space="preserve"> сайт</w:t>
      </w:r>
      <w:proofErr w:type="gramStart"/>
      <w:r w:rsidR="00EA4A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671E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gramEnd"/>
      <w:r w:rsidRPr="00DC671E">
        <w:rPr>
          <w:rFonts w:ascii="Times New Roman" w:hAnsi="Times New Roman" w:cs="Times New Roman"/>
          <w:sz w:val="28"/>
          <w:szCs w:val="28"/>
          <w:lang w:val="uk-UA"/>
        </w:rPr>
        <w:t>ержавної служби України з</w:t>
      </w:r>
      <w:r w:rsidRPr="00DC6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71E" w:rsidRPr="00DC671E" w:rsidRDefault="00DC671E" w:rsidP="00DC671E">
      <w:pPr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D71">
        <w:rPr>
          <w:rStyle w:val="a7"/>
          <w:rFonts w:ascii="Times New Roman" w:hAnsi="Times New Roman" w:cs="Times New Roman"/>
          <w:sz w:val="28"/>
          <w:szCs w:val="28"/>
        </w:rPr>
        <w:t>http://www.fssu.gov.ua/fse/control/main/uk/index</w:t>
      </w:r>
      <w:r w:rsidRPr="002732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671E">
        <w:rPr>
          <w:rFonts w:ascii="Times New Roman" w:hAnsi="Times New Roman" w:cs="Times New Roman"/>
          <w:sz w:val="28"/>
          <w:szCs w:val="28"/>
        </w:rPr>
        <w:tab/>
      </w:r>
      <w:r w:rsidRPr="00DC671E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 xml:space="preserve"> сайт Фонду </w:t>
      </w:r>
      <w:proofErr w:type="spellStart"/>
      <w:proofErr w:type="gramStart"/>
      <w:r w:rsidRPr="00DC671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C671E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DC671E" w:rsidRPr="00DC671E" w:rsidRDefault="00DC671E" w:rsidP="00DC671E">
      <w:pPr>
        <w:numPr>
          <w:ilvl w:val="0"/>
          <w:numId w:val="5"/>
        </w:numPr>
        <w:tabs>
          <w:tab w:val="clear" w:pos="360"/>
          <w:tab w:val="left" w:pos="426"/>
          <w:tab w:val="left" w:pos="567"/>
          <w:tab w:val="num" w:pos="709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D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7" w:history="1">
        <w:r w:rsidRPr="00E30968">
          <w:rPr>
            <w:rStyle w:val="a7"/>
            <w:rFonts w:ascii="Times New Roman" w:hAnsi="Times New Roman" w:cs="Times New Roman"/>
            <w:sz w:val="28"/>
            <w:szCs w:val="28"/>
          </w:rPr>
          <w:t>https://geneva.mfa.gov.ua/posolstvo/2609-labour</w:t>
        </w:r>
      </w:hyperlink>
      <w:r w:rsidR="00EA4A5C" w:rsidRPr="00EA4A5C">
        <w:rPr>
          <w:rStyle w:val="a7"/>
          <w:rFonts w:ascii="Times New Roman" w:hAnsi="Times New Roman" w:cs="Times New Roman"/>
          <w:sz w:val="28"/>
          <w:szCs w:val="28"/>
          <w:u w:val="none"/>
          <w:lang w:val="uk-UA"/>
        </w:rPr>
        <w:t xml:space="preserve"> </w:t>
      </w:r>
      <w:r w:rsidRPr="00DC671E">
        <w:rPr>
          <w:rFonts w:ascii="Times New Roman" w:hAnsi="Times New Roman" w:cs="Times New Roman"/>
          <w:sz w:val="28"/>
          <w:szCs w:val="28"/>
          <w:lang w:val="uk-UA"/>
        </w:rPr>
        <w:t>- Постійне представництво України при відділенні ООН у Женеві</w:t>
      </w:r>
    </w:p>
    <w:p w:rsidR="00DC671E" w:rsidRPr="002732BD" w:rsidRDefault="00DC671E" w:rsidP="00DC671E">
      <w:pPr>
        <w:numPr>
          <w:ilvl w:val="0"/>
          <w:numId w:val="5"/>
        </w:numPr>
        <w:tabs>
          <w:tab w:val="clear" w:pos="360"/>
          <w:tab w:val="left" w:pos="426"/>
          <w:tab w:val="num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8" w:history="1">
        <w:r w:rsidRPr="002732BD">
          <w:rPr>
            <w:rStyle w:val="a7"/>
            <w:rFonts w:ascii="Times New Roman" w:hAnsi="Times New Roman" w:cs="Times New Roman"/>
            <w:sz w:val="28"/>
            <w:szCs w:val="28"/>
          </w:rPr>
          <w:t>http://base.safework.ru/safework</w:t>
        </w:r>
      </w:hyperlink>
      <w:r w:rsidRPr="002732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A4A5C">
        <w:rPr>
          <w:rFonts w:ascii="Times New Roman" w:hAnsi="Times New Roman" w:cs="Times New Roman"/>
          <w:sz w:val="28"/>
          <w:szCs w:val="28"/>
        </w:rPr>
        <w:tab/>
      </w:r>
      <w:r w:rsidRPr="00DC671E">
        <w:rPr>
          <w:rFonts w:ascii="Times New Roman" w:hAnsi="Times New Roman" w:cs="Times New Roman"/>
          <w:sz w:val="28"/>
          <w:szCs w:val="28"/>
        </w:rPr>
        <w:noBreakHyphen/>
        <w:t> Б</w:t>
      </w:r>
      <w:r>
        <w:rPr>
          <w:rFonts w:ascii="Times New Roman" w:hAnsi="Times New Roman" w:cs="Times New Roman"/>
          <w:sz w:val="28"/>
          <w:szCs w:val="28"/>
        </w:rPr>
        <w:t>иблиотека безопасного труда МОТ</w:t>
      </w:r>
    </w:p>
    <w:p w:rsidR="00DC671E" w:rsidRPr="002732BD" w:rsidRDefault="00DC671E" w:rsidP="00DC671E">
      <w:pPr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9" w:history="1">
        <w:r w:rsidRPr="00E30968">
          <w:rPr>
            <w:rStyle w:val="a7"/>
            <w:rFonts w:ascii="Times New Roman" w:hAnsi="Times New Roman" w:cs="Times New Roman"/>
            <w:sz w:val="28"/>
            <w:szCs w:val="28"/>
          </w:rPr>
          <w:t>http://www.nau.kiev.ua/</w:t>
        </w:r>
      </w:hyperlink>
      <w:r w:rsidRPr="00DC6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671E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Інформаційно-пошукова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71E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DC671E">
        <w:rPr>
          <w:rFonts w:ascii="Times New Roman" w:hAnsi="Times New Roman" w:cs="Times New Roman"/>
          <w:sz w:val="28"/>
          <w:szCs w:val="28"/>
        </w:rPr>
        <w:t xml:space="preserve">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Нормативні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(НАУ)»</w:t>
      </w:r>
    </w:p>
    <w:p w:rsidR="00DC671E" w:rsidRPr="00185E4E" w:rsidRDefault="00DC671E" w:rsidP="00DC671E">
      <w:pPr>
        <w:shd w:val="clear" w:color="auto" w:fill="FFFFFF"/>
        <w:jc w:val="center"/>
      </w:pPr>
    </w:p>
    <w:p w:rsidR="00DC671E" w:rsidRPr="002732BD" w:rsidRDefault="00DC671E" w:rsidP="00DC671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C671E" w:rsidRPr="004C7653" w:rsidRDefault="00DC671E" w:rsidP="00DC671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C671E" w:rsidRPr="004C7653" w:rsidRDefault="00DC671E" w:rsidP="00DC671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C671E" w:rsidRPr="004C7653" w:rsidRDefault="00DC671E" w:rsidP="00DC671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C671E" w:rsidRPr="004C7653" w:rsidRDefault="00DC671E" w:rsidP="00DC671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C671E" w:rsidRPr="004C7653" w:rsidRDefault="00DC671E" w:rsidP="00DC671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C671E" w:rsidRPr="00DC671E" w:rsidRDefault="00DC671E" w:rsidP="00DC671E">
      <w:pPr>
        <w:tabs>
          <w:tab w:val="left" w:pos="284"/>
          <w:tab w:val="left" w:pos="567"/>
        </w:tabs>
        <w:suppressAutoHyphens/>
        <w:spacing w:line="360" w:lineRule="auto"/>
        <w:jc w:val="both"/>
        <w:rPr>
          <w:szCs w:val="28"/>
          <w:lang w:val="uk-UA"/>
        </w:rPr>
      </w:pPr>
    </w:p>
    <w:p w:rsidR="006313C7" w:rsidRDefault="006313C7" w:rsidP="00631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6313C7" w:rsidRDefault="006313C7" w:rsidP="006313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3C7" w:rsidRPr="006313C7" w:rsidRDefault="006313C7" w:rsidP="006313C7">
      <w:pPr>
        <w:jc w:val="both"/>
        <w:rPr>
          <w:lang w:val="uk-UA"/>
        </w:rPr>
      </w:pPr>
    </w:p>
    <w:sectPr w:rsidR="006313C7" w:rsidRPr="0063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8AEE2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F2088F"/>
    <w:multiLevelType w:val="multilevel"/>
    <w:tmpl w:val="FE6CF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9C24E1"/>
    <w:multiLevelType w:val="multilevel"/>
    <w:tmpl w:val="FE6CF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526130"/>
    <w:multiLevelType w:val="hybridMultilevel"/>
    <w:tmpl w:val="6728D778"/>
    <w:lvl w:ilvl="0" w:tplc="C5805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56364"/>
    <w:multiLevelType w:val="hybridMultilevel"/>
    <w:tmpl w:val="24A4FF34"/>
    <w:lvl w:ilvl="0" w:tplc="E0AA76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9D0620"/>
    <w:multiLevelType w:val="hybridMultilevel"/>
    <w:tmpl w:val="F6E2C4AA"/>
    <w:lvl w:ilvl="0" w:tplc="A94E88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AF"/>
    <w:rsid w:val="003D6517"/>
    <w:rsid w:val="00427292"/>
    <w:rsid w:val="004E7DC9"/>
    <w:rsid w:val="00570653"/>
    <w:rsid w:val="006313C7"/>
    <w:rsid w:val="00A42AAF"/>
    <w:rsid w:val="00D0040A"/>
    <w:rsid w:val="00DC671E"/>
    <w:rsid w:val="00E67306"/>
    <w:rsid w:val="00E75B6E"/>
    <w:rsid w:val="00EA4A5C"/>
    <w:rsid w:val="00F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0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0040A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3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0040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4">
    <w:name w:val="List Paragraph"/>
    <w:basedOn w:val="a"/>
    <w:uiPriority w:val="99"/>
    <w:qFormat/>
    <w:rsid w:val="004E7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57065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7065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4">
    <w:name w:val="Заголовок 44"/>
    <w:basedOn w:val="a"/>
    <w:next w:val="a"/>
    <w:rsid w:val="006313C7"/>
    <w:pPr>
      <w:keepNext/>
      <w:suppressAutoHyphens/>
      <w:spacing w:before="360" w:after="120" w:line="240" w:lineRule="auto"/>
      <w:outlineLvl w:val="3"/>
    </w:pPr>
    <w:rPr>
      <w:rFonts w:ascii="Arial" w:eastAsia="Times New Roman" w:hAnsi="Arial" w:cs="Times New Roman"/>
      <w:b/>
      <w:bCs/>
      <w:color w:val="000000"/>
      <w:sz w:val="28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6313C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313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13C7"/>
    <w:rPr>
      <w:rFonts w:eastAsiaTheme="minorEastAsia"/>
      <w:sz w:val="16"/>
      <w:szCs w:val="16"/>
      <w:lang w:eastAsia="ru-RU"/>
    </w:rPr>
  </w:style>
  <w:style w:type="character" w:styleId="a7">
    <w:name w:val="Hyperlink"/>
    <w:rsid w:val="00DC67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0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0040A"/>
    <w:pPr>
      <w:keepNext/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3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0040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4">
    <w:name w:val="List Paragraph"/>
    <w:basedOn w:val="a"/>
    <w:uiPriority w:val="99"/>
    <w:qFormat/>
    <w:rsid w:val="004E7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57065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7065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4">
    <w:name w:val="Заголовок 44"/>
    <w:basedOn w:val="a"/>
    <w:next w:val="a"/>
    <w:rsid w:val="006313C7"/>
    <w:pPr>
      <w:keepNext/>
      <w:suppressAutoHyphens/>
      <w:spacing w:before="360" w:after="120" w:line="240" w:lineRule="auto"/>
      <w:outlineLvl w:val="3"/>
    </w:pPr>
    <w:rPr>
      <w:rFonts w:ascii="Arial" w:eastAsia="Times New Roman" w:hAnsi="Arial" w:cs="Times New Roman"/>
      <w:b/>
      <w:bCs/>
      <w:color w:val="000000"/>
      <w:sz w:val="28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6313C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313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313C7"/>
    <w:rPr>
      <w:rFonts w:eastAsiaTheme="minorEastAsia"/>
      <w:sz w:val="16"/>
      <w:szCs w:val="16"/>
      <w:lang w:eastAsia="ru-RU"/>
    </w:rPr>
  </w:style>
  <w:style w:type="character" w:styleId="a7">
    <w:name w:val="Hyperlink"/>
    <w:rsid w:val="00DC6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safework.ru/safewor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eneva.mfa.gov.ua/posolstvo/2609-labo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u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u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2020-10-10T18:05:00Z</dcterms:created>
  <dcterms:modified xsi:type="dcterms:W3CDTF">2020-10-10T19:41:00Z</dcterms:modified>
</cp:coreProperties>
</file>