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F0" w:rsidRPr="00673F4A" w:rsidRDefault="00B23DF0" w:rsidP="00B23D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:rsidR="00B23DF0" w:rsidRPr="00616A76" w:rsidRDefault="00D3014D" w:rsidP="00D3014D">
      <w:pPr>
        <w:contextualSpacing/>
        <w:jc w:val="center"/>
        <w:rPr>
          <w:b/>
          <w:caps/>
          <w:color w:val="000000"/>
        </w:rPr>
      </w:pPr>
      <w:r w:rsidRPr="00616A76">
        <w:rPr>
          <w:b/>
          <w:color w:val="000000"/>
        </w:rPr>
        <w:t>«</w:t>
      </w:r>
      <w:r w:rsidR="00AE16D0">
        <w:rPr>
          <w:b/>
          <w:sz w:val="28"/>
          <w:szCs w:val="28"/>
        </w:rPr>
        <w:t>НОВІТНІ ТЕЧІЇ У СВІТОВІЙ ЛІТЕРАТУРІ</w:t>
      </w:r>
      <w:r w:rsidRPr="00616A76">
        <w:rPr>
          <w:b/>
          <w:color w:val="000000"/>
        </w:rPr>
        <w:t>»</w:t>
      </w:r>
    </w:p>
    <w:p w:rsidR="00B23DF0" w:rsidRPr="0042250C" w:rsidRDefault="00B23DF0" w:rsidP="00B23DF0">
      <w:pPr>
        <w:tabs>
          <w:tab w:val="left" w:pos="9623"/>
        </w:tabs>
        <w:ind w:left="290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280"/>
      </w:tblGrid>
      <w:tr w:rsidR="00B23DF0" w:rsidRPr="00035DE1" w:rsidTr="00D3014D">
        <w:trPr>
          <w:jc w:val="center"/>
        </w:trPr>
        <w:tc>
          <w:tcPr>
            <w:tcW w:w="2660" w:type="dxa"/>
            <w:shd w:val="clear" w:color="auto" w:fill="auto"/>
          </w:tcPr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t>Рівень вищої освіти</w:t>
            </w:r>
          </w:p>
        </w:tc>
        <w:tc>
          <w:tcPr>
            <w:tcW w:w="7280" w:type="dxa"/>
            <w:shd w:val="clear" w:color="auto" w:fill="auto"/>
          </w:tcPr>
          <w:p w:rsidR="00B23DF0" w:rsidRPr="00D23A9F" w:rsidRDefault="00AE16D0" w:rsidP="00245C97">
            <w:pPr>
              <w:tabs>
                <w:tab w:val="left" w:pos="9623"/>
              </w:tabs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</w:t>
            </w:r>
            <w:r w:rsidR="00B23DF0">
              <w:rPr>
                <w:sz w:val="28"/>
                <w:szCs w:val="28"/>
                <w:lang w:eastAsia="en-US"/>
              </w:rPr>
              <w:t>ий</w:t>
            </w:r>
            <w:r w:rsidR="00B23DF0" w:rsidRPr="00D23A9F"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магісте</w:t>
            </w:r>
            <w:r w:rsidR="00B23DF0">
              <w:rPr>
                <w:sz w:val="28"/>
                <w:szCs w:val="28"/>
                <w:lang w:eastAsia="en-US"/>
              </w:rPr>
              <w:t>рський</w:t>
            </w:r>
            <w:r w:rsidR="00B23DF0" w:rsidRPr="00D23A9F">
              <w:rPr>
                <w:sz w:val="28"/>
                <w:szCs w:val="28"/>
                <w:lang w:eastAsia="en-US"/>
              </w:rPr>
              <w:t>)</w:t>
            </w:r>
          </w:p>
          <w:p w:rsidR="00B23DF0" w:rsidRPr="00D23A9F" w:rsidRDefault="00B23DF0" w:rsidP="00D3014D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23DF0" w:rsidRPr="00616A76" w:rsidTr="00D3014D">
        <w:trPr>
          <w:jc w:val="center"/>
        </w:trPr>
        <w:tc>
          <w:tcPr>
            <w:tcW w:w="2660" w:type="dxa"/>
            <w:shd w:val="clear" w:color="auto" w:fill="auto"/>
          </w:tcPr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t>Мета й завдання</w:t>
            </w:r>
          </w:p>
        </w:tc>
        <w:tc>
          <w:tcPr>
            <w:tcW w:w="7280" w:type="dxa"/>
            <w:shd w:val="clear" w:color="auto" w:fill="auto"/>
          </w:tcPr>
          <w:p w:rsidR="00B23DF0" w:rsidRPr="00D23A9F" w:rsidRDefault="007C38C4" w:rsidP="00245C97">
            <w:pPr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Засвоєння вибіркового освітнього компонента «</w:t>
            </w:r>
            <w:r w:rsidR="00AE16D0">
              <w:rPr>
                <w:sz w:val="28"/>
                <w:szCs w:val="28"/>
              </w:rPr>
              <w:t>Новітні течії у світовій літературі</w:t>
            </w:r>
            <w:r>
              <w:rPr>
                <w:sz w:val="28"/>
                <w:szCs w:val="28"/>
              </w:rPr>
              <w:t xml:space="preserve">» має на меті </w:t>
            </w:r>
            <w:r w:rsidR="00AE16D0" w:rsidRPr="00AE16D0">
              <w:rPr>
                <w:sz w:val="28"/>
                <w:szCs w:val="28"/>
              </w:rPr>
              <w:t>сформувати у здобувачів вищої освіти цілісне уявлення про світовий літературний процес, сприяти усвідомленню його специфіки на сучасному етапі, забезпечити розуміння новітніх тенденцій у теорії літератури та мистецтві, що постають закономірним наслідком багатовікового розвитку культури, розвивати естетичний смак, виховувати загальну й читацьку культуру, формувати необхідні для успішного здійснення майбутньої професійної діяльності компетентності.</w:t>
            </w:r>
          </w:p>
          <w:p w:rsidR="00B23DF0" w:rsidRPr="00AE16D0" w:rsidRDefault="00AE16D0" w:rsidP="00AE16D0">
            <w:pPr>
              <w:ind w:left="34"/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AE16D0">
              <w:rPr>
                <w:spacing w:val="-4"/>
                <w:sz w:val="28"/>
                <w:szCs w:val="28"/>
              </w:rPr>
              <w:t>Основні з</w:t>
            </w:r>
            <w:r w:rsidR="007C38C4" w:rsidRPr="00AE16D0">
              <w:rPr>
                <w:spacing w:val="-4"/>
                <w:sz w:val="28"/>
                <w:szCs w:val="28"/>
              </w:rPr>
              <w:t>авдання освітнього компонента</w:t>
            </w:r>
            <w:r w:rsidRPr="00AE16D0">
              <w:rPr>
                <w:spacing w:val="-4"/>
                <w:sz w:val="28"/>
                <w:szCs w:val="28"/>
              </w:rPr>
              <w:t>:</w:t>
            </w:r>
            <w:r w:rsidR="007C38C4" w:rsidRPr="00AE16D0">
              <w:rPr>
                <w:spacing w:val="-4"/>
                <w:sz w:val="28"/>
                <w:szCs w:val="28"/>
              </w:rPr>
              <w:t xml:space="preserve"> </w:t>
            </w:r>
            <w:r w:rsidRPr="00AE16D0">
              <w:rPr>
                <w:spacing w:val="-4"/>
                <w:sz w:val="28"/>
                <w:szCs w:val="28"/>
              </w:rPr>
              <w:t>ознайомити здобувачів вищої освіти з культурною логікою «</w:t>
            </w:r>
            <w:proofErr w:type="spellStart"/>
            <w:r w:rsidRPr="00AE16D0">
              <w:rPr>
                <w:spacing w:val="-4"/>
                <w:sz w:val="28"/>
                <w:szCs w:val="28"/>
              </w:rPr>
              <w:t>постпостмодернізму</w:t>
            </w:r>
            <w:proofErr w:type="spellEnd"/>
            <w:r w:rsidRPr="00AE16D0">
              <w:rPr>
                <w:spacing w:val="-4"/>
                <w:sz w:val="28"/>
                <w:szCs w:val="28"/>
              </w:rPr>
              <w:t xml:space="preserve">»; забезпечити засвоєння теоретичних знань у межах вивчення концепцій </w:t>
            </w:r>
            <w:proofErr w:type="spellStart"/>
            <w:r w:rsidRPr="00AE16D0">
              <w:rPr>
                <w:spacing w:val="-4"/>
                <w:sz w:val="28"/>
                <w:szCs w:val="28"/>
              </w:rPr>
              <w:t>гіпермодернізм</w:t>
            </w:r>
            <w:r>
              <w:rPr>
                <w:spacing w:val="-4"/>
                <w:sz w:val="28"/>
                <w:szCs w:val="28"/>
              </w:rPr>
              <w:t>у</w:t>
            </w:r>
            <w:proofErr w:type="spellEnd"/>
            <w:r w:rsidRPr="00AE16D0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AE16D0">
              <w:rPr>
                <w:spacing w:val="-4"/>
                <w:sz w:val="28"/>
                <w:szCs w:val="28"/>
              </w:rPr>
              <w:t>трансгуманізм</w:t>
            </w:r>
            <w:r>
              <w:rPr>
                <w:spacing w:val="-4"/>
                <w:sz w:val="28"/>
                <w:szCs w:val="28"/>
              </w:rPr>
              <w:t>у</w:t>
            </w:r>
            <w:proofErr w:type="spellEnd"/>
            <w:r w:rsidRPr="00AE16D0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AE16D0">
              <w:rPr>
                <w:spacing w:val="-4"/>
                <w:sz w:val="28"/>
                <w:szCs w:val="28"/>
              </w:rPr>
              <w:t>реновалізм</w:t>
            </w:r>
            <w:r>
              <w:rPr>
                <w:spacing w:val="-4"/>
                <w:sz w:val="28"/>
                <w:szCs w:val="28"/>
              </w:rPr>
              <w:t>у</w:t>
            </w:r>
            <w:proofErr w:type="spellEnd"/>
            <w:r w:rsidRPr="00AE16D0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AE16D0">
              <w:rPr>
                <w:spacing w:val="-4"/>
                <w:sz w:val="28"/>
                <w:szCs w:val="28"/>
              </w:rPr>
              <w:t>перформатизма</w:t>
            </w:r>
            <w:proofErr w:type="spellEnd"/>
            <w:r w:rsidRPr="00AE16D0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AE16D0">
              <w:rPr>
                <w:spacing w:val="-4"/>
                <w:sz w:val="28"/>
                <w:szCs w:val="28"/>
              </w:rPr>
              <w:t>джиджи</w:t>
            </w:r>
            <w:r>
              <w:rPr>
                <w:spacing w:val="-4"/>
                <w:sz w:val="28"/>
                <w:szCs w:val="28"/>
              </w:rPr>
              <w:t>-</w:t>
            </w:r>
            <w:r w:rsidRPr="00AE16D0">
              <w:rPr>
                <w:spacing w:val="-4"/>
                <w:sz w:val="28"/>
                <w:szCs w:val="28"/>
              </w:rPr>
              <w:t>модернізм</w:t>
            </w:r>
            <w:r>
              <w:rPr>
                <w:spacing w:val="-4"/>
                <w:sz w:val="28"/>
                <w:szCs w:val="28"/>
              </w:rPr>
              <w:t>у</w:t>
            </w:r>
            <w:proofErr w:type="spellEnd"/>
            <w:r w:rsidRPr="00AE16D0">
              <w:rPr>
                <w:spacing w:val="-4"/>
                <w:sz w:val="28"/>
                <w:szCs w:val="28"/>
              </w:rPr>
              <w:t xml:space="preserve">; поглибити їх знання про сучасну </w:t>
            </w:r>
            <w:proofErr w:type="spellStart"/>
            <w:r w:rsidRPr="00AE16D0">
              <w:rPr>
                <w:spacing w:val="-4"/>
                <w:sz w:val="28"/>
                <w:szCs w:val="28"/>
              </w:rPr>
              <w:t>теоретико-літературну</w:t>
            </w:r>
            <w:proofErr w:type="spellEnd"/>
            <w:r w:rsidRPr="00AE16D0">
              <w:rPr>
                <w:spacing w:val="-4"/>
                <w:sz w:val="28"/>
                <w:szCs w:val="28"/>
              </w:rPr>
              <w:t xml:space="preserve"> думку й новітню світову літературу; відкрити нові імена у світовому письменстві й на основі аналізу художніх творів визначити особливості їх </w:t>
            </w:r>
            <w:proofErr w:type="spellStart"/>
            <w:r w:rsidRPr="00AE16D0">
              <w:rPr>
                <w:spacing w:val="-4"/>
                <w:sz w:val="28"/>
                <w:szCs w:val="28"/>
              </w:rPr>
              <w:t>ідіостилю</w:t>
            </w:r>
            <w:proofErr w:type="spellEnd"/>
            <w:r w:rsidRPr="00AE16D0">
              <w:rPr>
                <w:spacing w:val="-4"/>
                <w:sz w:val="28"/>
                <w:szCs w:val="28"/>
              </w:rPr>
              <w:t xml:space="preserve">; розвивати вміння орієнтуватись у сучасних арт-рухах, таких як: </w:t>
            </w:r>
            <w:proofErr w:type="spellStart"/>
            <w:r w:rsidRPr="00AE16D0">
              <w:rPr>
                <w:spacing w:val="-4"/>
                <w:sz w:val="28"/>
                <w:szCs w:val="28"/>
              </w:rPr>
              <w:t>стакізм</w:t>
            </w:r>
            <w:proofErr w:type="spellEnd"/>
            <w:r w:rsidRPr="00AE16D0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AE16D0">
              <w:rPr>
                <w:spacing w:val="-4"/>
                <w:sz w:val="28"/>
                <w:szCs w:val="28"/>
              </w:rPr>
              <w:t>інтентизм</w:t>
            </w:r>
            <w:proofErr w:type="spellEnd"/>
            <w:r w:rsidRPr="00AE16D0">
              <w:rPr>
                <w:spacing w:val="-4"/>
                <w:sz w:val="28"/>
                <w:szCs w:val="28"/>
              </w:rPr>
              <w:t>, off-модернізм тощо.</w:t>
            </w:r>
          </w:p>
        </w:tc>
      </w:tr>
      <w:tr w:rsidR="00B23DF0" w:rsidRPr="00035DE1" w:rsidTr="00D3014D">
        <w:trPr>
          <w:jc w:val="center"/>
        </w:trPr>
        <w:tc>
          <w:tcPr>
            <w:tcW w:w="2660" w:type="dxa"/>
            <w:shd w:val="clear" w:color="auto" w:fill="auto"/>
          </w:tcPr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t>Обсяг годин, кредитів ЄКТС</w:t>
            </w:r>
          </w:p>
        </w:tc>
        <w:tc>
          <w:tcPr>
            <w:tcW w:w="7280" w:type="dxa"/>
            <w:shd w:val="clear" w:color="auto" w:fill="auto"/>
          </w:tcPr>
          <w:p w:rsidR="00B23DF0" w:rsidRPr="00B50888" w:rsidRDefault="00B23DF0" w:rsidP="00B50888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EE41CE">
              <w:rPr>
                <w:sz w:val="28"/>
                <w:szCs w:val="28"/>
                <w:lang w:eastAsia="ar-SA"/>
              </w:rPr>
              <w:t>На вивчення навчальної дисципліни відводиться 1</w:t>
            </w:r>
            <w:r w:rsidR="00B50888">
              <w:rPr>
                <w:sz w:val="28"/>
                <w:szCs w:val="28"/>
                <w:lang w:eastAsia="ar-SA"/>
              </w:rPr>
              <w:t>2</w:t>
            </w:r>
            <w:r w:rsidRPr="00EE41CE">
              <w:rPr>
                <w:sz w:val="28"/>
                <w:szCs w:val="28"/>
                <w:lang w:eastAsia="ar-SA"/>
              </w:rPr>
              <w:t xml:space="preserve">0 годин </w:t>
            </w:r>
            <w:r>
              <w:rPr>
                <w:sz w:val="28"/>
                <w:szCs w:val="28"/>
                <w:lang w:eastAsia="ar-SA"/>
              </w:rPr>
              <w:t>(</w:t>
            </w:r>
            <w:r w:rsidR="00B50888"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E41CE">
              <w:rPr>
                <w:sz w:val="28"/>
                <w:szCs w:val="28"/>
                <w:lang w:eastAsia="ar-SA"/>
              </w:rPr>
              <w:t>кредит</w:t>
            </w:r>
            <w:r w:rsidR="00B50888">
              <w:rPr>
                <w:sz w:val="28"/>
                <w:szCs w:val="28"/>
                <w:lang w:eastAsia="ar-SA"/>
              </w:rPr>
              <w:t>и</w:t>
            </w:r>
            <w:r w:rsidRPr="00EE41CE">
              <w:rPr>
                <w:sz w:val="28"/>
                <w:szCs w:val="28"/>
                <w:lang w:eastAsia="ar-SA"/>
              </w:rPr>
              <w:t xml:space="preserve"> ECTS</w:t>
            </w:r>
            <w:r>
              <w:rPr>
                <w:sz w:val="28"/>
                <w:szCs w:val="28"/>
                <w:lang w:eastAsia="ar-SA"/>
              </w:rPr>
              <w:t>)</w:t>
            </w:r>
            <w:r w:rsidRPr="00EE41CE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B23DF0" w:rsidRPr="00035DE1" w:rsidTr="007C38C4">
        <w:trPr>
          <w:trHeight w:val="1125"/>
          <w:jc w:val="center"/>
        </w:trPr>
        <w:tc>
          <w:tcPr>
            <w:tcW w:w="2660" w:type="dxa"/>
            <w:shd w:val="clear" w:color="auto" w:fill="auto"/>
          </w:tcPr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t>Термін викладання</w:t>
            </w:r>
          </w:p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t>(семестр)</w:t>
            </w:r>
          </w:p>
        </w:tc>
        <w:tc>
          <w:tcPr>
            <w:tcW w:w="7280" w:type="dxa"/>
            <w:shd w:val="clear" w:color="auto" w:fill="auto"/>
            <w:vAlign w:val="center"/>
          </w:tcPr>
          <w:p w:rsidR="00B23DF0" w:rsidRPr="00D23A9F" w:rsidRDefault="00B23DF0" w:rsidP="00AE16D0">
            <w:pPr>
              <w:suppressAutoHyphens/>
              <w:rPr>
                <w:sz w:val="28"/>
                <w:szCs w:val="28"/>
                <w:lang w:eastAsia="ar-SA"/>
              </w:rPr>
            </w:pPr>
            <w:r w:rsidRPr="00EE41CE">
              <w:rPr>
                <w:sz w:val="28"/>
                <w:szCs w:val="28"/>
                <w:lang w:eastAsia="ar-SA"/>
              </w:rPr>
              <w:t xml:space="preserve">Дисципліна викладається у </w:t>
            </w:r>
            <w:r w:rsidR="00AE16D0">
              <w:rPr>
                <w:sz w:val="28"/>
                <w:szCs w:val="28"/>
                <w:lang w:eastAsia="ar-SA"/>
              </w:rPr>
              <w:t>2</w:t>
            </w:r>
            <w:r w:rsidR="007C38C4">
              <w:rPr>
                <w:sz w:val="28"/>
                <w:szCs w:val="28"/>
                <w:lang w:eastAsia="ar-SA"/>
              </w:rPr>
              <w:t xml:space="preserve"> / </w:t>
            </w:r>
            <w:r w:rsidR="00AE16D0"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 xml:space="preserve"> семестрі</w:t>
            </w:r>
            <w:r w:rsidRPr="00EE41CE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B23DF0" w:rsidRPr="00616A76" w:rsidTr="00D3014D">
        <w:trPr>
          <w:jc w:val="center"/>
        </w:trPr>
        <w:tc>
          <w:tcPr>
            <w:tcW w:w="2660" w:type="dxa"/>
            <w:shd w:val="clear" w:color="auto" w:fill="auto"/>
          </w:tcPr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t>Короткий зміст</w:t>
            </w:r>
          </w:p>
        </w:tc>
        <w:tc>
          <w:tcPr>
            <w:tcW w:w="7280" w:type="dxa"/>
            <w:shd w:val="clear" w:color="auto" w:fill="auto"/>
          </w:tcPr>
          <w:p w:rsidR="001235F6" w:rsidRPr="00D23A9F" w:rsidRDefault="004A6B73" w:rsidP="00AE16D0">
            <w:pPr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</w:rPr>
              <w:t>Освітній компонент</w:t>
            </w:r>
            <w:r w:rsidR="00AE16D0" w:rsidRPr="00AE16D0">
              <w:rPr>
                <w:spacing w:val="-4"/>
                <w:sz w:val="28"/>
                <w:szCs w:val="28"/>
              </w:rPr>
              <w:t xml:space="preserve"> «Новітні течії у світовій літературі» є закономірним продовженням попереднього засвоєння</w:t>
            </w:r>
            <w:r w:rsidR="00AE16D0">
              <w:rPr>
                <w:spacing w:val="-4"/>
                <w:sz w:val="28"/>
                <w:szCs w:val="28"/>
              </w:rPr>
              <w:t xml:space="preserve"> </w:t>
            </w:r>
            <w:r w:rsidR="00AE16D0" w:rsidRPr="00AE16D0">
              <w:rPr>
                <w:spacing w:val="-4"/>
                <w:sz w:val="28"/>
                <w:szCs w:val="28"/>
              </w:rPr>
              <w:t>етапів світового літературного процесу, сучасний стан якого розглядається крізь призму нової культурної логіки –</w:t>
            </w:r>
            <w:r w:rsidR="00AE16D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AE16D0" w:rsidRPr="00AE16D0">
              <w:rPr>
                <w:spacing w:val="-4"/>
                <w:sz w:val="28"/>
                <w:szCs w:val="28"/>
              </w:rPr>
              <w:t>постпостмодернзіму</w:t>
            </w:r>
            <w:proofErr w:type="spellEnd"/>
            <w:r w:rsidR="00AE16D0" w:rsidRPr="00AE16D0">
              <w:rPr>
                <w:spacing w:val="-4"/>
                <w:sz w:val="28"/>
                <w:szCs w:val="28"/>
              </w:rPr>
              <w:t>. Відштовхуючись від базового поняття постмодернізму, курс охоплює комплекс альтернативних</w:t>
            </w:r>
            <w:r w:rsidR="00AE16D0">
              <w:rPr>
                <w:spacing w:val="-4"/>
                <w:sz w:val="28"/>
                <w:szCs w:val="28"/>
              </w:rPr>
              <w:t xml:space="preserve"> </w:t>
            </w:r>
            <w:r w:rsidR="00AE16D0" w:rsidRPr="00AE16D0">
              <w:rPr>
                <w:spacing w:val="-4"/>
                <w:sz w:val="28"/>
                <w:szCs w:val="28"/>
              </w:rPr>
              <w:t>теоретичних концепцій, а також народжених на їх основі нових мистецьких тенденцій. Зокрема, у процесі засвоєння</w:t>
            </w:r>
            <w:r w:rsidR="00AE16D0">
              <w:rPr>
                <w:spacing w:val="-4"/>
                <w:sz w:val="28"/>
                <w:szCs w:val="28"/>
              </w:rPr>
              <w:t xml:space="preserve"> </w:t>
            </w:r>
            <w:r w:rsidR="00AE16D0" w:rsidRPr="00AE16D0">
              <w:rPr>
                <w:spacing w:val="-4"/>
                <w:sz w:val="28"/>
                <w:szCs w:val="28"/>
              </w:rPr>
              <w:t>курсу здобувачі вищої освіти матимуть змогу актуалізувати й поглибити свої уявлення про постмодернізм на прикладі</w:t>
            </w:r>
            <w:r w:rsidR="00AE16D0">
              <w:rPr>
                <w:spacing w:val="-4"/>
                <w:sz w:val="28"/>
                <w:szCs w:val="28"/>
              </w:rPr>
              <w:t xml:space="preserve"> </w:t>
            </w:r>
            <w:r w:rsidR="00AE16D0" w:rsidRPr="00AE16D0">
              <w:rPr>
                <w:spacing w:val="-4"/>
                <w:sz w:val="28"/>
                <w:szCs w:val="28"/>
              </w:rPr>
              <w:lastRenderedPageBreak/>
              <w:t xml:space="preserve">знакових текстів </w:t>
            </w:r>
            <w:proofErr w:type="spellStart"/>
            <w:r w:rsidR="00AE16D0" w:rsidRPr="00AE16D0">
              <w:rPr>
                <w:spacing w:val="-4"/>
                <w:sz w:val="28"/>
                <w:szCs w:val="28"/>
              </w:rPr>
              <w:t>Дж.</w:t>
            </w:r>
            <w:r w:rsidR="00AE16D0">
              <w:rPr>
                <w:spacing w:val="-4"/>
                <w:sz w:val="28"/>
                <w:szCs w:val="28"/>
              </w:rPr>
              <w:t>Г. </w:t>
            </w:r>
            <w:r w:rsidR="00AE16D0" w:rsidRPr="00AE16D0">
              <w:rPr>
                <w:spacing w:val="-4"/>
                <w:sz w:val="28"/>
                <w:szCs w:val="28"/>
              </w:rPr>
              <w:t>Ба</w:t>
            </w:r>
            <w:proofErr w:type="spellEnd"/>
            <w:r w:rsidR="00AE16D0" w:rsidRPr="00AE16D0">
              <w:rPr>
                <w:spacing w:val="-4"/>
                <w:sz w:val="28"/>
                <w:szCs w:val="28"/>
              </w:rPr>
              <w:t xml:space="preserve">лларда («Висотка»), </w:t>
            </w:r>
            <w:proofErr w:type="spellStart"/>
            <w:r w:rsidR="00AE16D0" w:rsidRPr="00AE16D0">
              <w:rPr>
                <w:spacing w:val="-4"/>
                <w:sz w:val="28"/>
                <w:szCs w:val="28"/>
              </w:rPr>
              <w:t>В.С.</w:t>
            </w:r>
            <w:r w:rsidR="00AE16D0">
              <w:rPr>
                <w:spacing w:val="-4"/>
                <w:sz w:val="28"/>
                <w:szCs w:val="28"/>
              </w:rPr>
              <w:t> </w:t>
            </w:r>
            <w:r w:rsidR="00AE16D0" w:rsidRPr="00AE16D0">
              <w:rPr>
                <w:spacing w:val="-4"/>
                <w:sz w:val="28"/>
                <w:szCs w:val="28"/>
              </w:rPr>
              <w:t>Бер</w:t>
            </w:r>
            <w:proofErr w:type="spellEnd"/>
            <w:r w:rsidR="00AE16D0" w:rsidRPr="00AE16D0">
              <w:rPr>
                <w:spacing w:val="-4"/>
                <w:sz w:val="28"/>
                <w:szCs w:val="28"/>
              </w:rPr>
              <w:t xml:space="preserve">роуза («Голий ланч»), </w:t>
            </w:r>
            <w:proofErr w:type="spellStart"/>
            <w:r w:rsidR="00AE16D0" w:rsidRPr="00AE16D0">
              <w:rPr>
                <w:spacing w:val="-4"/>
                <w:sz w:val="28"/>
                <w:szCs w:val="28"/>
              </w:rPr>
              <w:t>І.</w:t>
            </w:r>
            <w:r w:rsidR="00AE16D0">
              <w:rPr>
                <w:spacing w:val="-4"/>
                <w:sz w:val="28"/>
                <w:szCs w:val="28"/>
              </w:rPr>
              <w:t> </w:t>
            </w:r>
            <w:r w:rsidR="00AE16D0" w:rsidRPr="00AE16D0">
              <w:rPr>
                <w:spacing w:val="-4"/>
                <w:sz w:val="28"/>
                <w:szCs w:val="28"/>
              </w:rPr>
              <w:t>Кальв</w:t>
            </w:r>
            <w:proofErr w:type="spellEnd"/>
            <w:r w:rsidR="00AE16D0" w:rsidRPr="00AE16D0">
              <w:rPr>
                <w:spacing w:val="-4"/>
                <w:sz w:val="28"/>
                <w:szCs w:val="28"/>
              </w:rPr>
              <w:t>іно («Якщо подорожній одної</w:t>
            </w:r>
            <w:r w:rsidR="00AE16D0">
              <w:rPr>
                <w:spacing w:val="-4"/>
                <w:sz w:val="28"/>
                <w:szCs w:val="28"/>
              </w:rPr>
              <w:t xml:space="preserve"> зимової ночі…»), </w:t>
            </w:r>
            <w:proofErr w:type="spellStart"/>
            <w:r w:rsidR="00AE16D0">
              <w:rPr>
                <w:spacing w:val="-4"/>
                <w:sz w:val="28"/>
                <w:szCs w:val="28"/>
              </w:rPr>
              <w:t>Т. </w:t>
            </w:r>
            <w:r w:rsidR="00AE16D0" w:rsidRPr="00AE16D0">
              <w:rPr>
                <w:spacing w:val="-4"/>
                <w:sz w:val="28"/>
                <w:szCs w:val="28"/>
              </w:rPr>
              <w:t>Моррі</w:t>
            </w:r>
            <w:proofErr w:type="spellEnd"/>
            <w:r w:rsidR="00AE16D0" w:rsidRPr="00AE16D0">
              <w:rPr>
                <w:spacing w:val="-4"/>
                <w:sz w:val="28"/>
                <w:szCs w:val="28"/>
              </w:rPr>
              <w:t xml:space="preserve">сон («Кохана»), </w:t>
            </w:r>
            <w:proofErr w:type="spellStart"/>
            <w:r w:rsidR="00AE16D0" w:rsidRPr="00AE16D0">
              <w:rPr>
                <w:spacing w:val="-4"/>
                <w:sz w:val="28"/>
                <w:szCs w:val="28"/>
              </w:rPr>
              <w:t>Т.</w:t>
            </w:r>
            <w:r w:rsidR="00AE16D0">
              <w:rPr>
                <w:spacing w:val="-4"/>
                <w:sz w:val="28"/>
                <w:szCs w:val="28"/>
              </w:rPr>
              <w:t> </w:t>
            </w:r>
            <w:r w:rsidR="00AE16D0" w:rsidRPr="00AE16D0">
              <w:rPr>
                <w:spacing w:val="-4"/>
                <w:sz w:val="28"/>
                <w:szCs w:val="28"/>
              </w:rPr>
              <w:t>Пінч</w:t>
            </w:r>
            <w:proofErr w:type="spellEnd"/>
            <w:r w:rsidR="00AE16D0" w:rsidRPr="00AE16D0">
              <w:rPr>
                <w:spacing w:val="-4"/>
                <w:sz w:val="28"/>
                <w:szCs w:val="28"/>
              </w:rPr>
              <w:t xml:space="preserve">она («Виголошення лоту 49»); усвідомити генетичний </w:t>
            </w:r>
            <w:proofErr w:type="spellStart"/>
            <w:r w:rsidR="00AE16D0" w:rsidRPr="00AE16D0">
              <w:rPr>
                <w:spacing w:val="-4"/>
                <w:sz w:val="28"/>
                <w:szCs w:val="28"/>
              </w:rPr>
              <w:t>звʼязок</w:t>
            </w:r>
            <w:proofErr w:type="spellEnd"/>
            <w:r w:rsidR="00AE16D0" w:rsidRPr="00AE16D0">
              <w:rPr>
                <w:spacing w:val="-4"/>
                <w:sz w:val="28"/>
                <w:szCs w:val="28"/>
              </w:rPr>
              <w:t xml:space="preserve"> із</w:t>
            </w:r>
            <w:r w:rsidR="00AE16D0">
              <w:rPr>
                <w:spacing w:val="-4"/>
                <w:sz w:val="28"/>
                <w:szCs w:val="28"/>
              </w:rPr>
              <w:t xml:space="preserve"> бестселера</w:t>
            </w:r>
            <w:r w:rsidR="00AE16D0" w:rsidRPr="00AE16D0">
              <w:rPr>
                <w:spacing w:val="-4"/>
                <w:sz w:val="28"/>
                <w:szCs w:val="28"/>
              </w:rPr>
              <w:t>ми, що стали свідченням естетичних пошуків та</w:t>
            </w:r>
            <w:r w:rsidR="00AE16D0">
              <w:rPr>
                <w:spacing w:val="-4"/>
                <w:sz w:val="28"/>
                <w:szCs w:val="28"/>
              </w:rPr>
              <w:t xml:space="preserve">ких авторів ХХІ століття, як </w:t>
            </w:r>
            <w:proofErr w:type="spellStart"/>
            <w:r w:rsidR="00AE16D0">
              <w:rPr>
                <w:spacing w:val="-4"/>
                <w:sz w:val="28"/>
                <w:szCs w:val="28"/>
              </w:rPr>
              <w:t>Н. </w:t>
            </w:r>
            <w:r w:rsidR="00AE16D0" w:rsidRPr="00AE16D0">
              <w:rPr>
                <w:spacing w:val="-4"/>
                <w:sz w:val="28"/>
                <w:szCs w:val="28"/>
              </w:rPr>
              <w:t>Бей</w:t>
            </w:r>
            <w:proofErr w:type="spellEnd"/>
            <w:r w:rsidR="00AE16D0" w:rsidRPr="00AE16D0">
              <w:rPr>
                <w:spacing w:val="-4"/>
                <w:sz w:val="28"/>
                <w:szCs w:val="28"/>
              </w:rPr>
              <w:t>кер, Д.Ф.</w:t>
            </w:r>
            <w:r w:rsidR="00AE16D0">
              <w:rPr>
                <w:spacing w:val="-4"/>
                <w:sz w:val="28"/>
                <w:szCs w:val="28"/>
              </w:rPr>
              <w:t> </w:t>
            </w:r>
            <w:r w:rsidR="00AE16D0" w:rsidRPr="00AE16D0">
              <w:rPr>
                <w:spacing w:val="-4"/>
                <w:sz w:val="28"/>
                <w:szCs w:val="28"/>
              </w:rPr>
              <w:t>Воллес,</w:t>
            </w:r>
            <w:r w:rsidR="00AE16D0">
              <w:rPr>
                <w:spacing w:val="-4"/>
                <w:sz w:val="28"/>
                <w:szCs w:val="28"/>
              </w:rPr>
              <w:t xml:space="preserve"> М.</w:t>
            </w:r>
            <w:r w:rsidR="00AE16D0" w:rsidRPr="00AE16D0">
              <w:rPr>
                <w:spacing w:val="-4"/>
                <w:sz w:val="28"/>
                <w:szCs w:val="28"/>
              </w:rPr>
              <w:t>Z.</w:t>
            </w:r>
            <w:r w:rsidR="00AE16D0">
              <w:rPr>
                <w:spacing w:val="-4"/>
                <w:sz w:val="28"/>
                <w:szCs w:val="28"/>
              </w:rPr>
              <w:t> </w:t>
            </w:r>
            <w:r w:rsidR="00AE16D0" w:rsidRPr="00AE16D0">
              <w:rPr>
                <w:spacing w:val="-4"/>
                <w:sz w:val="28"/>
                <w:szCs w:val="28"/>
              </w:rPr>
              <w:t xml:space="preserve">Данилевський, </w:t>
            </w:r>
            <w:proofErr w:type="spellStart"/>
            <w:r w:rsidR="00AE16D0" w:rsidRPr="00AE16D0">
              <w:rPr>
                <w:spacing w:val="-4"/>
                <w:sz w:val="28"/>
                <w:szCs w:val="28"/>
              </w:rPr>
              <w:t>Д.</w:t>
            </w:r>
            <w:r w:rsidR="00AE16D0">
              <w:rPr>
                <w:spacing w:val="-4"/>
                <w:sz w:val="28"/>
                <w:szCs w:val="28"/>
              </w:rPr>
              <w:t> Еґґ</w:t>
            </w:r>
            <w:proofErr w:type="spellEnd"/>
            <w:r w:rsidR="00AE16D0">
              <w:rPr>
                <w:spacing w:val="-4"/>
                <w:sz w:val="28"/>
                <w:szCs w:val="28"/>
              </w:rPr>
              <w:t>ерс, Б. </w:t>
            </w:r>
            <w:r w:rsidR="00AE16D0" w:rsidRPr="00AE16D0">
              <w:rPr>
                <w:spacing w:val="-4"/>
                <w:sz w:val="28"/>
                <w:szCs w:val="28"/>
              </w:rPr>
              <w:t>Кастро, Д.</w:t>
            </w:r>
            <w:r w:rsidR="00AE16D0">
              <w:rPr>
                <w:spacing w:val="-4"/>
                <w:sz w:val="28"/>
                <w:szCs w:val="28"/>
              </w:rPr>
              <w:t> </w:t>
            </w:r>
            <w:r w:rsidR="00AE16D0" w:rsidRPr="00AE16D0">
              <w:rPr>
                <w:spacing w:val="-4"/>
                <w:sz w:val="28"/>
                <w:szCs w:val="28"/>
              </w:rPr>
              <w:t xml:space="preserve">Мітчелл, </w:t>
            </w:r>
            <w:proofErr w:type="spellStart"/>
            <w:r w:rsidR="00AE16D0" w:rsidRPr="00AE16D0">
              <w:rPr>
                <w:spacing w:val="-4"/>
                <w:sz w:val="28"/>
                <w:szCs w:val="28"/>
              </w:rPr>
              <w:t>Е.</w:t>
            </w:r>
            <w:r w:rsidR="00AE16D0">
              <w:rPr>
                <w:spacing w:val="-4"/>
                <w:sz w:val="28"/>
                <w:szCs w:val="28"/>
              </w:rPr>
              <w:t> </w:t>
            </w:r>
            <w:r w:rsidR="00AE16D0" w:rsidRPr="00AE16D0">
              <w:rPr>
                <w:spacing w:val="-4"/>
                <w:sz w:val="28"/>
                <w:szCs w:val="28"/>
              </w:rPr>
              <w:t>Ренд</w:t>
            </w:r>
            <w:proofErr w:type="spellEnd"/>
            <w:r w:rsidR="00AE16D0" w:rsidRPr="00AE16D0">
              <w:rPr>
                <w:spacing w:val="-4"/>
                <w:sz w:val="28"/>
                <w:szCs w:val="28"/>
              </w:rPr>
              <w:t>алл та ін. Детальний аналіз розмаїття напрямів та</w:t>
            </w:r>
            <w:r w:rsidR="00AE16D0">
              <w:rPr>
                <w:spacing w:val="-4"/>
                <w:sz w:val="28"/>
                <w:szCs w:val="28"/>
              </w:rPr>
              <w:t xml:space="preserve"> </w:t>
            </w:r>
            <w:r w:rsidR="00AE16D0" w:rsidRPr="00AE16D0">
              <w:rPr>
                <w:spacing w:val="-4"/>
                <w:sz w:val="28"/>
                <w:szCs w:val="28"/>
              </w:rPr>
              <w:t>експериментальних жанрів сприятиме більш повному та глибокому розумінню ідейно-естетичних та національних</w:t>
            </w:r>
            <w:r w:rsidR="00AE16D0">
              <w:rPr>
                <w:spacing w:val="-4"/>
                <w:sz w:val="28"/>
                <w:szCs w:val="28"/>
              </w:rPr>
              <w:t xml:space="preserve"> </w:t>
            </w:r>
            <w:r w:rsidR="00AE16D0" w:rsidRPr="00AE16D0">
              <w:rPr>
                <w:spacing w:val="-4"/>
                <w:sz w:val="28"/>
                <w:szCs w:val="28"/>
              </w:rPr>
              <w:t xml:space="preserve">особливостей розвитку художньої літератури й </w:t>
            </w:r>
            <w:proofErr w:type="spellStart"/>
            <w:r w:rsidR="00AE16D0" w:rsidRPr="00AE16D0">
              <w:rPr>
                <w:spacing w:val="-4"/>
                <w:sz w:val="28"/>
                <w:szCs w:val="28"/>
              </w:rPr>
              <w:t>теоретико-літературної</w:t>
            </w:r>
            <w:proofErr w:type="spellEnd"/>
            <w:r w:rsidR="00AE16D0" w:rsidRPr="00AE16D0">
              <w:rPr>
                <w:spacing w:val="-4"/>
                <w:sz w:val="28"/>
                <w:szCs w:val="28"/>
              </w:rPr>
              <w:t xml:space="preserve"> думки на сучасному етапі.</w:t>
            </w:r>
          </w:p>
        </w:tc>
      </w:tr>
      <w:tr w:rsidR="00B23DF0" w:rsidRPr="00616A76" w:rsidTr="00D3014D">
        <w:trPr>
          <w:jc w:val="center"/>
        </w:trPr>
        <w:tc>
          <w:tcPr>
            <w:tcW w:w="2660" w:type="dxa"/>
            <w:shd w:val="clear" w:color="auto" w:fill="auto"/>
          </w:tcPr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lastRenderedPageBreak/>
              <w:t xml:space="preserve">Перелік </w:t>
            </w:r>
            <w:proofErr w:type="spellStart"/>
            <w:r w:rsidRPr="00D23A9F">
              <w:rPr>
                <w:b/>
                <w:sz w:val="28"/>
                <w:szCs w:val="28"/>
                <w:lang w:eastAsia="en-US"/>
              </w:rPr>
              <w:t>компетентностей</w:t>
            </w:r>
            <w:proofErr w:type="spellEnd"/>
          </w:p>
        </w:tc>
        <w:tc>
          <w:tcPr>
            <w:tcW w:w="7280" w:type="dxa"/>
            <w:shd w:val="clear" w:color="auto" w:fill="auto"/>
          </w:tcPr>
          <w:p w:rsidR="00A52AD2" w:rsidRPr="00A52AD2" w:rsidRDefault="00A52AD2" w:rsidP="00A52AD2">
            <w:pPr>
              <w:shd w:val="clear" w:color="auto" w:fill="FFFFFF"/>
              <w:ind w:left="34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A52AD2">
              <w:rPr>
                <w:b/>
                <w:i/>
                <w:sz w:val="28"/>
                <w:szCs w:val="28"/>
                <w:lang w:eastAsia="en-US"/>
              </w:rPr>
              <w:t>Загальні компетентності</w:t>
            </w:r>
          </w:p>
          <w:p w:rsidR="00A52AD2" w:rsidRPr="00A52AD2" w:rsidRDefault="00A52AD2" w:rsidP="00A52AD2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52" w:firstLine="342"/>
              <w:jc w:val="both"/>
              <w:rPr>
                <w:sz w:val="28"/>
                <w:szCs w:val="28"/>
                <w:lang w:val="uk-UA" w:eastAsia="en-US"/>
              </w:rPr>
            </w:pPr>
            <w:r w:rsidRPr="00A52AD2">
              <w:rPr>
                <w:sz w:val="28"/>
                <w:szCs w:val="28"/>
                <w:lang w:val="uk-UA" w:eastAsia="en-US"/>
              </w:rPr>
              <w:t>Знання та розуміння предметної області та розуміння професійної діяльності.</w:t>
            </w:r>
          </w:p>
          <w:p w:rsidR="00A52AD2" w:rsidRDefault="00A52AD2" w:rsidP="00A52AD2">
            <w:pPr>
              <w:jc w:val="both"/>
            </w:pPr>
          </w:p>
          <w:p w:rsidR="00A52AD2" w:rsidRPr="00A52AD2" w:rsidRDefault="00A52AD2" w:rsidP="00A52AD2">
            <w:pPr>
              <w:shd w:val="clear" w:color="auto" w:fill="FFFFFF"/>
              <w:ind w:left="34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A52AD2">
              <w:rPr>
                <w:b/>
                <w:i/>
                <w:sz w:val="28"/>
                <w:szCs w:val="28"/>
                <w:lang w:eastAsia="en-US"/>
              </w:rPr>
              <w:t>Спеціальні (фахові) компетентності</w:t>
            </w:r>
          </w:p>
          <w:p w:rsidR="00A52AD2" w:rsidRPr="00A52AD2" w:rsidRDefault="00A52AD2" w:rsidP="00A52AD2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52" w:firstLine="342"/>
              <w:jc w:val="both"/>
              <w:rPr>
                <w:sz w:val="28"/>
                <w:szCs w:val="28"/>
                <w:lang w:val="uk-UA" w:eastAsia="en-US"/>
              </w:rPr>
            </w:pPr>
            <w:r w:rsidRPr="00A52AD2">
              <w:rPr>
                <w:sz w:val="28"/>
                <w:szCs w:val="28"/>
                <w:lang w:val="uk-UA" w:eastAsia="en-US"/>
              </w:rPr>
              <w:t>Володіння спеціальними знаннями загальних і часткових теорій мовознавства та літературознавства, наукових шкіл і напрямів філологічних досліджень.</w:t>
            </w:r>
          </w:p>
          <w:p w:rsidR="00A52AD2" w:rsidRPr="00A52AD2" w:rsidRDefault="00A52AD2" w:rsidP="00A52AD2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52" w:firstLine="342"/>
              <w:jc w:val="both"/>
              <w:rPr>
                <w:sz w:val="28"/>
                <w:szCs w:val="28"/>
                <w:lang w:val="uk-UA" w:eastAsia="en-US"/>
              </w:rPr>
            </w:pPr>
            <w:r w:rsidRPr="00A52AD2">
              <w:rPr>
                <w:sz w:val="28"/>
                <w:szCs w:val="28"/>
                <w:lang w:val="uk-UA" w:eastAsia="en-US"/>
              </w:rPr>
              <w:t xml:space="preserve">Здатність використовувати досягнення сучасної науки в галузі теорії та історії англійської, німецької мов, теорії та історії світової літератури та культури у процесі навчання. </w:t>
            </w:r>
          </w:p>
          <w:p w:rsidR="00A52AD2" w:rsidRPr="00A52AD2" w:rsidRDefault="00A52AD2" w:rsidP="00A52AD2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52" w:firstLine="342"/>
              <w:jc w:val="both"/>
              <w:rPr>
                <w:sz w:val="28"/>
                <w:szCs w:val="28"/>
                <w:lang w:val="uk-UA" w:eastAsia="en-US"/>
              </w:rPr>
            </w:pPr>
            <w:r w:rsidRPr="00A52AD2">
              <w:rPr>
                <w:sz w:val="28"/>
                <w:szCs w:val="28"/>
                <w:lang w:val="uk-UA" w:eastAsia="en-US"/>
              </w:rPr>
              <w:t>Здатність орієнтуватися у літературному процесі в історико-культурному контексті та використовувати знання іноземних мов і світової літератури для формування національної свідомості, культури, ціннісних орієнтацій учнів.</w:t>
            </w:r>
          </w:p>
          <w:p w:rsidR="00B23DF0" w:rsidRPr="00D23A9F" w:rsidRDefault="00A52AD2" w:rsidP="00A52AD2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52" w:firstLine="342"/>
              <w:jc w:val="both"/>
              <w:rPr>
                <w:sz w:val="28"/>
                <w:szCs w:val="28"/>
                <w:lang w:val="uk-UA"/>
              </w:rPr>
            </w:pPr>
            <w:r w:rsidRPr="00A52AD2">
              <w:rPr>
                <w:sz w:val="28"/>
                <w:szCs w:val="28"/>
                <w:lang w:val="uk-UA" w:eastAsia="en-US"/>
              </w:rPr>
              <w:t>Здатність інтерпретувати й зіставляти мовні та літературні явища, використовувати різні методи й методики аналізу тексту.</w:t>
            </w:r>
          </w:p>
        </w:tc>
      </w:tr>
      <w:tr w:rsidR="00B23DF0" w:rsidRPr="00616A76" w:rsidTr="00D3014D">
        <w:trPr>
          <w:jc w:val="center"/>
        </w:trPr>
        <w:tc>
          <w:tcPr>
            <w:tcW w:w="2660" w:type="dxa"/>
            <w:shd w:val="clear" w:color="auto" w:fill="auto"/>
          </w:tcPr>
          <w:p w:rsidR="00B23DF0" w:rsidRPr="00D23A9F" w:rsidRDefault="00B23DF0" w:rsidP="00245C97">
            <w:pPr>
              <w:rPr>
                <w:b/>
                <w:sz w:val="28"/>
                <w:szCs w:val="28"/>
                <w:lang w:eastAsia="en-US"/>
              </w:rPr>
            </w:pPr>
          </w:p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t>Результати навчання</w:t>
            </w:r>
          </w:p>
        </w:tc>
        <w:tc>
          <w:tcPr>
            <w:tcW w:w="7280" w:type="dxa"/>
            <w:shd w:val="clear" w:color="auto" w:fill="auto"/>
          </w:tcPr>
          <w:p w:rsidR="00A52AD2" w:rsidRPr="00A52AD2" w:rsidRDefault="00A52AD2" w:rsidP="00A52AD2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52" w:firstLine="342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</w:t>
            </w:r>
            <w:r w:rsidRPr="00A52AD2">
              <w:rPr>
                <w:sz w:val="28"/>
                <w:szCs w:val="28"/>
                <w:lang w:val="uk-UA" w:eastAsia="en-US"/>
              </w:rPr>
              <w:t xml:space="preserve">нання фундаментальних наук для формування світогляду й соціалізації особистості та освоєння </w:t>
            </w:r>
            <w:proofErr w:type="spellStart"/>
            <w:r w:rsidRPr="00A52AD2">
              <w:rPr>
                <w:sz w:val="28"/>
                <w:szCs w:val="28"/>
                <w:lang w:val="uk-UA" w:eastAsia="en-US"/>
              </w:rPr>
              <w:t>загальнопрофесійних</w:t>
            </w:r>
            <w:proofErr w:type="spellEnd"/>
            <w:r w:rsidRPr="00A52AD2">
              <w:rPr>
                <w:sz w:val="28"/>
                <w:szCs w:val="28"/>
                <w:lang w:val="uk-UA" w:eastAsia="en-US"/>
              </w:rPr>
              <w:t xml:space="preserve"> дисциплін; передових </w:t>
            </w:r>
            <w:proofErr w:type="spellStart"/>
            <w:r w:rsidR="00300DD0">
              <w:rPr>
                <w:sz w:val="28"/>
                <w:szCs w:val="28"/>
                <w:lang w:val="uk-UA" w:eastAsia="en-US"/>
              </w:rPr>
              <w:t>концеп-</w:t>
            </w:r>
            <w:r w:rsidRPr="00A52AD2">
              <w:rPr>
                <w:sz w:val="28"/>
                <w:szCs w:val="28"/>
                <w:lang w:val="uk-UA" w:eastAsia="en-US"/>
              </w:rPr>
              <w:t>туальних</w:t>
            </w:r>
            <w:proofErr w:type="spellEnd"/>
            <w:r w:rsidRPr="00A52AD2">
              <w:rPr>
                <w:sz w:val="28"/>
                <w:szCs w:val="28"/>
                <w:lang w:val="uk-UA" w:eastAsia="en-US"/>
              </w:rPr>
              <w:t xml:space="preserve"> та методологічних досягнень в галузі науково-дослідної та/або професійної діяльності і на межі предметних галузей;</w:t>
            </w:r>
          </w:p>
          <w:p w:rsidR="00A52AD2" w:rsidRPr="00A52AD2" w:rsidRDefault="00A52AD2" w:rsidP="00A52AD2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52" w:firstLine="342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</w:t>
            </w:r>
            <w:r w:rsidRPr="00A52AD2">
              <w:rPr>
                <w:sz w:val="28"/>
                <w:szCs w:val="28"/>
                <w:lang w:val="uk-UA" w:eastAsia="en-US"/>
              </w:rPr>
              <w:t>міння володіти формами і методами наукового пізнання, вміти аналізувати сучасні соціальні та етичні проблеми, наукові школи, напрямки, концепції, джерела гуманітарного знання;</w:t>
            </w:r>
          </w:p>
          <w:p w:rsidR="00A52AD2" w:rsidRPr="00A52AD2" w:rsidRDefault="00A52AD2" w:rsidP="00A52AD2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52" w:firstLine="342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</w:t>
            </w:r>
            <w:r w:rsidRPr="00A52AD2">
              <w:rPr>
                <w:sz w:val="28"/>
                <w:szCs w:val="28"/>
                <w:lang w:val="uk-UA" w:eastAsia="en-US"/>
              </w:rPr>
              <w:t xml:space="preserve">міння володіти основними поняттями, термінами, </w:t>
            </w:r>
            <w:r w:rsidRPr="00A52AD2">
              <w:rPr>
                <w:sz w:val="28"/>
                <w:szCs w:val="28"/>
                <w:lang w:val="uk-UA" w:eastAsia="en-US"/>
              </w:rPr>
              <w:lastRenderedPageBreak/>
              <w:t>положеннями мовознавства та літературознавства, орієнтуючись на здобутки сучасної науки; уміти оперувати цими знаннями у процесі професійної діяльності;</w:t>
            </w:r>
          </w:p>
          <w:p w:rsidR="00B23DF0" w:rsidRPr="00A52AD2" w:rsidRDefault="00A52AD2" w:rsidP="00A52AD2">
            <w:pPr>
              <w:pStyle w:val="a5"/>
              <w:numPr>
                <w:ilvl w:val="0"/>
                <w:numId w:val="10"/>
              </w:numPr>
              <w:shd w:val="clear" w:color="auto" w:fill="FFFFFF"/>
              <w:ind w:left="52" w:firstLine="342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</w:t>
            </w:r>
            <w:bookmarkStart w:id="0" w:name="_GoBack"/>
            <w:bookmarkEnd w:id="0"/>
            <w:r w:rsidRPr="00A52AD2">
              <w:rPr>
                <w:sz w:val="28"/>
                <w:szCs w:val="28"/>
                <w:lang w:val="uk-UA" w:eastAsia="en-US"/>
              </w:rPr>
              <w:t xml:space="preserve">датність оцінювати педагогічні інновації щодо вивчення мов та літератури, навчальний матеріал, визначати  доцільність їх впровадження в </w:t>
            </w:r>
            <w:proofErr w:type="spellStart"/>
            <w:r w:rsidRPr="00A52AD2">
              <w:rPr>
                <w:sz w:val="28"/>
                <w:szCs w:val="28"/>
                <w:lang w:val="uk-UA" w:eastAsia="en-US"/>
              </w:rPr>
              <w:t>освітньо-виховний</w:t>
            </w:r>
            <w:proofErr w:type="spellEnd"/>
            <w:r w:rsidRPr="00A52AD2">
              <w:rPr>
                <w:sz w:val="28"/>
                <w:szCs w:val="28"/>
                <w:lang w:val="uk-UA" w:eastAsia="en-US"/>
              </w:rPr>
              <w:t xml:space="preserve"> процес навчального закладу.</w:t>
            </w:r>
          </w:p>
        </w:tc>
      </w:tr>
      <w:tr w:rsidR="00B23DF0" w:rsidRPr="00035DE1" w:rsidTr="00D3014D">
        <w:trPr>
          <w:jc w:val="center"/>
        </w:trPr>
        <w:tc>
          <w:tcPr>
            <w:tcW w:w="2660" w:type="dxa"/>
            <w:shd w:val="clear" w:color="auto" w:fill="auto"/>
          </w:tcPr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lastRenderedPageBreak/>
              <w:t>Система оцінювання</w:t>
            </w:r>
          </w:p>
        </w:tc>
        <w:tc>
          <w:tcPr>
            <w:tcW w:w="7280" w:type="dxa"/>
            <w:shd w:val="clear" w:color="auto" w:fill="auto"/>
          </w:tcPr>
          <w:p w:rsidR="00B23DF0" w:rsidRPr="00D23A9F" w:rsidRDefault="007F789A" w:rsidP="00245C97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до </w:t>
            </w:r>
            <w:hyperlink r:id="rId6" w:history="1">
              <w:r>
                <w:rPr>
                  <w:rStyle w:val="a8"/>
                  <w:sz w:val="28"/>
                  <w:szCs w:val="28"/>
                </w:rPr>
                <w:t>Положення про бально-накопичувальну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</w:t>
              </w:r>
            </w:hyperlink>
          </w:p>
        </w:tc>
      </w:tr>
      <w:tr w:rsidR="00B23DF0" w:rsidRPr="00035DE1" w:rsidTr="00D3014D">
        <w:trPr>
          <w:jc w:val="center"/>
        </w:trPr>
        <w:tc>
          <w:tcPr>
            <w:tcW w:w="2660" w:type="dxa"/>
            <w:shd w:val="clear" w:color="auto" w:fill="auto"/>
          </w:tcPr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t>Форми контролю</w:t>
            </w:r>
          </w:p>
        </w:tc>
        <w:tc>
          <w:tcPr>
            <w:tcW w:w="7280" w:type="dxa"/>
            <w:shd w:val="clear" w:color="auto" w:fill="auto"/>
          </w:tcPr>
          <w:p w:rsidR="00B23DF0" w:rsidRPr="00D23A9F" w:rsidRDefault="001235F6" w:rsidP="005D70F3">
            <w:pPr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0345B0">
              <w:rPr>
                <w:sz w:val="28"/>
                <w:szCs w:val="28"/>
              </w:rPr>
              <w:t xml:space="preserve">Оцінювання виконання завдань на практичних заняттях, </w:t>
            </w:r>
            <w:r w:rsidR="005D70F3">
              <w:rPr>
                <w:sz w:val="28"/>
                <w:szCs w:val="28"/>
              </w:rPr>
              <w:t>о</w:t>
            </w:r>
            <w:r w:rsidR="005D70F3" w:rsidRPr="000345B0">
              <w:rPr>
                <w:sz w:val="28"/>
                <w:szCs w:val="28"/>
              </w:rPr>
              <w:t xml:space="preserve">цінювання </w:t>
            </w:r>
            <w:r w:rsidRPr="000345B0">
              <w:rPr>
                <w:sz w:val="28"/>
                <w:szCs w:val="28"/>
              </w:rPr>
              <w:t xml:space="preserve">модульних контрольних робіт, </w:t>
            </w:r>
            <w:r>
              <w:rPr>
                <w:sz w:val="28"/>
                <w:szCs w:val="28"/>
              </w:rPr>
              <w:t>творчих індивідуальних завдань</w:t>
            </w:r>
            <w:r w:rsidR="00B23DF0" w:rsidRPr="00D23A9F">
              <w:rPr>
                <w:sz w:val="28"/>
                <w:szCs w:val="28"/>
                <w:lang w:eastAsia="en-US"/>
              </w:rPr>
              <w:t xml:space="preserve">; </w:t>
            </w:r>
            <w:r w:rsidR="00B50888">
              <w:rPr>
                <w:sz w:val="28"/>
                <w:szCs w:val="28"/>
                <w:lang w:eastAsia="en-US"/>
              </w:rPr>
              <w:t>залік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23DF0" w:rsidRPr="00035DE1" w:rsidTr="004975DF">
        <w:trPr>
          <w:jc w:val="center"/>
        </w:trPr>
        <w:tc>
          <w:tcPr>
            <w:tcW w:w="2660" w:type="dxa"/>
            <w:shd w:val="clear" w:color="auto" w:fill="auto"/>
          </w:tcPr>
          <w:p w:rsidR="00B23DF0" w:rsidRPr="00D23A9F" w:rsidRDefault="00B23DF0" w:rsidP="00245C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23A9F">
              <w:rPr>
                <w:b/>
                <w:sz w:val="28"/>
                <w:szCs w:val="28"/>
                <w:lang w:eastAsia="en-US"/>
              </w:rPr>
              <w:t>Кафедра</w:t>
            </w:r>
          </w:p>
        </w:tc>
        <w:tc>
          <w:tcPr>
            <w:tcW w:w="7280" w:type="dxa"/>
            <w:shd w:val="clear" w:color="auto" w:fill="auto"/>
            <w:vAlign w:val="center"/>
          </w:tcPr>
          <w:p w:rsidR="00D3014D" w:rsidRPr="00D23A9F" w:rsidRDefault="00D3014D" w:rsidP="004975DF">
            <w:pPr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Кафедра укра</w:t>
            </w:r>
            <w:r w:rsidR="00A52AD2">
              <w:rPr>
                <w:sz w:val="28"/>
                <w:szCs w:val="28"/>
                <w:lang w:eastAsia="en-US"/>
              </w:rPr>
              <w:t>їнської і зарубіжної літератури</w:t>
            </w:r>
          </w:p>
        </w:tc>
      </w:tr>
    </w:tbl>
    <w:p w:rsidR="00B23DF0" w:rsidRDefault="00B23DF0" w:rsidP="005D70F3">
      <w:pPr>
        <w:ind w:left="360"/>
        <w:contextualSpacing/>
        <w:rPr>
          <w:b/>
          <w:caps/>
          <w:color w:val="000000"/>
        </w:rPr>
      </w:pPr>
    </w:p>
    <w:p w:rsidR="00B23DF0" w:rsidRDefault="00B23DF0" w:rsidP="00B23DF0">
      <w:pPr>
        <w:ind w:left="360"/>
        <w:contextualSpacing/>
        <w:jc w:val="center"/>
        <w:rPr>
          <w:b/>
          <w:caps/>
          <w:color w:val="000000"/>
        </w:rPr>
      </w:pPr>
    </w:p>
    <w:p w:rsidR="00B23DF0" w:rsidRPr="0098641B" w:rsidRDefault="00B23DF0" w:rsidP="00B23DF0">
      <w:pPr>
        <w:suppressAutoHyphens/>
        <w:jc w:val="center"/>
        <w:rPr>
          <w:i/>
          <w:sz w:val="28"/>
          <w:szCs w:val="28"/>
          <w:lang w:eastAsia="ar-SA"/>
        </w:rPr>
      </w:pPr>
    </w:p>
    <w:p w:rsidR="00B23DF0" w:rsidRDefault="00B23DF0" w:rsidP="008948A8">
      <w:pPr>
        <w:ind w:left="360"/>
        <w:contextualSpacing/>
        <w:jc w:val="center"/>
        <w:rPr>
          <w:b/>
          <w:caps/>
          <w:color w:val="000000"/>
        </w:rPr>
      </w:pPr>
    </w:p>
    <w:p w:rsidR="00B23DF0" w:rsidRDefault="00B23DF0" w:rsidP="008948A8">
      <w:pPr>
        <w:ind w:left="360"/>
        <w:contextualSpacing/>
        <w:jc w:val="center"/>
        <w:rPr>
          <w:b/>
          <w:caps/>
          <w:color w:val="000000"/>
        </w:rPr>
      </w:pPr>
    </w:p>
    <w:sectPr w:rsidR="00B23DF0" w:rsidSect="009E0626">
      <w:pgSz w:w="12240" w:h="15840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089A"/>
    <w:multiLevelType w:val="hybridMultilevel"/>
    <w:tmpl w:val="3F46C582"/>
    <w:lvl w:ilvl="0" w:tplc="AAB2EFF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8466F2"/>
    <w:multiLevelType w:val="hybridMultilevel"/>
    <w:tmpl w:val="1214F0CE"/>
    <w:lvl w:ilvl="0" w:tplc="0C427D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0F53EEB"/>
    <w:multiLevelType w:val="hybridMultilevel"/>
    <w:tmpl w:val="8B7C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42164"/>
    <w:multiLevelType w:val="hybridMultilevel"/>
    <w:tmpl w:val="3F46C582"/>
    <w:lvl w:ilvl="0" w:tplc="AAB2EFF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573F1B"/>
    <w:multiLevelType w:val="hybridMultilevel"/>
    <w:tmpl w:val="C736E63C"/>
    <w:lvl w:ilvl="0" w:tplc="AAB2EFF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F65914"/>
    <w:multiLevelType w:val="hybridMultilevel"/>
    <w:tmpl w:val="A9001366"/>
    <w:lvl w:ilvl="0" w:tplc="AAB2EFF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075B70"/>
    <w:multiLevelType w:val="hybridMultilevel"/>
    <w:tmpl w:val="A9001366"/>
    <w:lvl w:ilvl="0" w:tplc="AAB2EFF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3344D0"/>
    <w:multiLevelType w:val="hybridMultilevel"/>
    <w:tmpl w:val="3F46C582"/>
    <w:lvl w:ilvl="0" w:tplc="AAB2EFF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B15040"/>
    <w:multiLevelType w:val="hybridMultilevel"/>
    <w:tmpl w:val="60203414"/>
    <w:lvl w:ilvl="0" w:tplc="701C7A40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A97701"/>
    <w:multiLevelType w:val="hybridMultilevel"/>
    <w:tmpl w:val="A9001366"/>
    <w:lvl w:ilvl="0" w:tplc="AAB2EFF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866C67"/>
    <w:multiLevelType w:val="hybridMultilevel"/>
    <w:tmpl w:val="C862EA7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E2"/>
    <w:rsid w:val="00043277"/>
    <w:rsid w:val="00060486"/>
    <w:rsid w:val="000664C4"/>
    <w:rsid w:val="000D26CC"/>
    <w:rsid w:val="001235F6"/>
    <w:rsid w:val="002C79EE"/>
    <w:rsid w:val="00300DD0"/>
    <w:rsid w:val="003056BD"/>
    <w:rsid w:val="00322295"/>
    <w:rsid w:val="003B69D7"/>
    <w:rsid w:val="003E6AD3"/>
    <w:rsid w:val="004561EB"/>
    <w:rsid w:val="004975DF"/>
    <w:rsid w:val="00497A8A"/>
    <w:rsid w:val="004A6B73"/>
    <w:rsid w:val="004B76BC"/>
    <w:rsid w:val="004C693F"/>
    <w:rsid w:val="00570B61"/>
    <w:rsid w:val="0059319D"/>
    <w:rsid w:val="005D70F3"/>
    <w:rsid w:val="005F1992"/>
    <w:rsid w:val="00614F70"/>
    <w:rsid w:val="00623541"/>
    <w:rsid w:val="00641C43"/>
    <w:rsid w:val="00642F16"/>
    <w:rsid w:val="007B5B5D"/>
    <w:rsid w:val="007C38C4"/>
    <w:rsid w:val="007D1F4C"/>
    <w:rsid w:val="007D7F58"/>
    <w:rsid w:val="007F789A"/>
    <w:rsid w:val="008650B0"/>
    <w:rsid w:val="008948A8"/>
    <w:rsid w:val="00896FFC"/>
    <w:rsid w:val="009A2C75"/>
    <w:rsid w:val="009E0626"/>
    <w:rsid w:val="009F1A03"/>
    <w:rsid w:val="00A065E0"/>
    <w:rsid w:val="00A12502"/>
    <w:rsid w:val="00A52AD2"/>
    <w:rsid w:val="00AD0021"/>
    <w:rsid w:val="00AE16D0"/>
    <w:rsid w:val="00B23DF0"/>
    <w:rsid w:val="00B50888"/>
    <w:rsid w:val="00B618E2"/>
    <w:rsid w:val="00B62F6B"/>
    <w:rsid w:val="00C37F60"/>
    <w:rsid w:val="00C5067D"/>
    <w:rsid w:val="00C52A25"/>
    <w:rsid w:val="00C61BC6"/>
    <w:rsid w:val="00C97E62"/>
    <w:rsid w:val="00CE4A40"/>
    <w:rsid w:val="00D3014D"/>
    <w:rsid w:val="00D95DE1"/>
    <w:rsid w:val="00ED3B4E"/>
    <w:rsid w:val="00EE3380"/>
    <w:rsid w:val="00FB0FE9"/>
    <w:rsid w:val="00FC72FF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26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9E0626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6">
    <w:name w:val="Абзац списка6"/>
    <w:basedOn w:val="a"/>
    <w:uiPriority w:val="99"/>
    <w:rsid w:val="009E0626"/>
    <w:pPr>
      <w:ind w:left="720"/>
      <w:contextualSpacing/>
    </w:pPr>
    <w:rPr>
      <w:lang w:val="ru-RU"/>
    </w:rPr>
  </w:style>
  <w:style w:type="paragraph" w:customStyle="1" w:styleId="5">
    <w:name w:val="Абзац списка5"/>
    <w:basedOn w:val="a"/>
    <w:uiPriority w:val="99"/>
    <w:rsid w:val="00A065E0"/>
    <w:pPr>
      <w:ind w:left="720"/>
      <w:contextualSpacing/>
    </w:pPr>
    <w:rPr>
      <w:lang w:val="ru-RU"/>
    </w:rPr>
  </w:style>
  <w:style w:type="table" w:styleId="a3">
    <w:name w:val="Table Grid"/>
    <w:basedOn w:val="a1"/>
    <w:uiPriority w:val="59"/>
    <w:locked/>
    <w:rsid w:val="00AD002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23DF0"/>
    <w:pPr>
      <w:spacing w:before="100" w:beforeAutospacing="1" w:after="100" w:afterAutospacing="1"/>
    </w:pPr>
    <w:rPr>
      <w:rFonts w:ascii="Tahoma" w:hAnsi="Tahoma" w:cs="Tahoma"/>
      <w:color w:val="200F03"/>
      <w:sz w:val="20"/>
      <w:szCs w:val="20"/>
      <w:lang w:val="ru-RU"/>
    </w:rPr>
  </w:style>
  <w:style w:type="paragraph" w:customStyle="1" w:styleId="Default">
    <w:name w:val="Default"/>
    <w:rsid w:val="00B23D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7C38C4"/>
    <w:pPr>
      <w:suppressAutoHyphens/>
      <w:ind w:left="720"/>
      <w:contextualSpacing/>
    </w:pPr>
    <w:rPr>
      <w:lang w:val="ru-RU" w:eastAsia="ar-SA"/>
    </w:rPr>
  </w:style>
  <w:style w:type="paragraph" w:customStyle="1" w:styleId="1">
    <w:name w:val="Обычный1"/>
    <w:rsid w:val="005D70F3"/>
    <w:pPr>
      <w:spacing w:line="276" w:lineRule="auto"/>
    </w:pPr>
    <w:rPr>
      <w:rFonts w:ascii="Arial" w:eastAsia="Times New Roman" w:hAnsi="Arial" w:cs="Arial"/>
      <w:sz w:val="22"/>
      <w:szCs w:val="22"/>
    </w:rPr>
  </w:style>
  <w:style w:type="character" w:customStyle="1" w:styleId="fontstyle01">
    <w:name w:val="fontstyle01"/>
    <w:basedOn w:val="a0"/>
    <w:rsid w:val="00AE16D0"/>
    <w:rPr>
      <w:rFonts w:ascii="Bookman Old Style" w:hAnsi="Bookman Old Style" w:hint="default"/>
      <w:b w:val="0"/>
      <w:bCs w:val="0"/>
      <w:i w:val="0"/>
      <w:iCs w:val="0"/>
      <w:color w:val="1D2C12"/>
      <w:sz w:val="24"/>
      <w:szCs w:val="24"/>
    </w:rPr>
  </w:style>
  <w:style w:type="character" w:customStyle="1" w:styleId="fontstyle21">
    <w:name w:val="fontstyle21"/>
    <w:basedOn w:val="a0"/>
    <w:rsid w:val="00AE16D0"/>
    <w:rPr>
      <w:rFonts w:ascii="Times New Roman" w:hAnsi="Times New Roman" w:cs="Times New Roman" w:hint="default"/>
      <w:b w:val="0"/>
      <w:bCs w:val="0"/>
      <w:i w:val="0"/>
      <w:iCs w:val="0"/>
      <w:color w:val="1D2C12"/>
      <w:sz w:val="24"/>
      <w:szCs w:val="24"/>
    </w:rPr>
  </w:style>
  <w:style w:type="paragraph" w:styleId="a6">
    <w:name w:val="footer"/>
    <w:basedOn w:val="a"/>
    <w:link w:val="a7"/>
    <w:uiPriority w:val="99"/>
    <w:rsid w:val="00A52AD2"/>
    <w:pPr>
      <w:tabs>
        <w:tab w:val="center" w:pos="4677"/>
        <w:tab w:val="right" w:pos="9355"/>
      </w:tabs>
    </w:pPr>
    <w:rPr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A52AD2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F78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26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9E0626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6">
    <w:name w:val="Абзац списка6"/>
    <w:basedOn w:val="a"/>
    <w:uiPriority w:val="99"/>
    <w:rsid w:val="009E0626"/>
    <w:pPr>
      <w:ind w:left="720"/>
      <w:contextualSpacing/>
    </w:pPr>
    <w:rPr>
      <w:lang w:val="ru-RU"/>
    </w:rPr>
  </w:style>
  <w:style w:type="paragraph" w:customStyle="1" w:styleId="5">
    <w:name w:val="Абзац списка5"/>
    <w:basedOn w:val="a"/>
    <w:uiPriority w:val="99"/>
    <w:rsid w:val="00A065E0"/>
    <w:pPr>
      <w:ind w:left="720"/>
      <w:contextualSpacing/>
    </w:pPr>
    <w:rPr>
      <w:lang w:val="ru-RU"/>
    </w:rPr>
  </w:style>
  <w:style w:type="table" w:styleId="a3">
    <w:name w:val="Table Grid"/>
    <w:basedOn w:val="a1"/>
    <w:uiPriority w:val="59"/>
    <w:locked/>
    <w:rsid w:val="00AD002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23DF0"/>
    <w:pPr>
      <w:spacing w:before="100" w:beforeAutospacing="1" w:after="100" w:afterAutospacing="1"/>
    </w:pPr>
    <w:rPr>
      <w:rFonts w:ascii="Tahoma" w:hAnsi="Tahoma" w:cs="Tahoma"/>
      <w:color w:val="200F03"/>
      <w:sz w:val="20"/>
      <w:szCs w:val="20"/>
      <w:lang w:val="ru-RU"/>
    </w:rPr>
  </w:style>
  <w:style w:type="paragraph" w:customStyle="1" w:styleId="Default">
    <w:name w:val="Default"/>
    <w:rsid w:val="00B23D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7C38C4"/>
    <w:pPr>
      <w:suppressAutoHyphens/>
      <w:ind w:left="720"/>
      <w:contextualSpacing/>
    </w:pPr>
    <w:rPr>
      <w:lang w:val="ru-RU" w:eastAsia="ar-SA"/>
    </w:rPr>
  </w:style>
  <w:style w:type="paragraph" w:customStyle="1" w:styleId="1">
    <w:name w:val="Обычный1"/>
    <w:rsid w:val="005D70F3"/>
    <w:pPr>
      <w:spacing w:line="276" w:lineRule="auto"/>
    </w:pPr>
    <w:rPr>
      <w:rFonts w:ascii="Arial" w:eastAsia="Times New Roman" w:hAnsi="Arial" w:cs="Arial"/>
      <w:sz w:val="22"/>
      <w:szCs w:val="22"/>
    </w:rPr>
  </w:style>
  <w:style w:type="character" w:customStyle="1" w:styleId="fontstyle01">
    <w:name w:val="fontstyle01"/>
    <w:basedOn w:val="a0"/>
    <w:rsid w:val="00AE16D0"/>
    <w:rPr>
      <w:rFonts w:ascii="Bookman Old Style" w:hAnsi="Bookman Old Style" w:hint="default"/>
      <w:b w:val="0"/>
      <w:bCs w:val="0"/>
      <w:i w:val="0"/>
      <w:iCs w:val="0"/>
      <w:color w:val="1D2C12"/>
      <w:sz w:val="24"/>
      <w:szCs w:val="24"/>
    </w:rPr>
  </w:style>
  <w:style w:type="character" w:customStyle="1" w:styleId="fontstyle21">
    <w:name w:val="fontstyle21"/>
    <w:basedOn w:val="a0"/>
    <w:rsid w:val="00AE16D0"/>
    <w:rPr>
      <w:rFonts w:ascii="Times New Roman" w:hAnsi="Times New Roman" w:cs="Times New Roman" w:hint="default"/>
      <w:b w:val="0"/>
      <w:bCs w:val="0"/>
      <w:i w:val="0"/>
      <w:iCs w:val="0"/>
      <w:color w:val="1D2C12"/>
      <w:sz w:val="24"/>
      <w:szCs w:val="24"/>
    </w:rPr>
  </w:style>
  <w:style w:type="paragraph" w:styleId="a6">
    <w:name w:val="footer"/>
    <w:basedOn w:val="a"/>
    <w:link w:val="a7"/>
    <w:uiPriority w:val="99"/>
    <w:rsid w:val="00A52AD2"/>
    <w:pPr>
      <w:tabs>
        <w:tab w:val="center" w:pos="4677"/>
        <w:tab w:val="right" w:pos="9355"/>
      </w:tabs>
    </w:pPr>
    <w:rPr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A52AD2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F7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BDRNtAJupqmHkldtICJTkvL-LNTIjWRX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380954810180</dc:creator>
  <cp:lastModifiedBy>Пользователь Windows</cp:lastModifiedBy>
  <cp:revision>12</cp:revision>
  <dcterms:created xsi:type="dcterms:W3CDTF">2021-09-23T15:31:00Z</dcterms:created>
  <dcterms:modified xsi:type="dcterms:W3CDTF">2021-12-12T11:16:00Z</dcterms:modified>
</cp:coreProperties>
</file>