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10" w:rsidRDefault="00362B68" w:rsidP="00EB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Затверджена т</w:t>
      </w:r>
      <w:r w:rsidR="006354AB"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ематика </w:t>
      </w:r>
      <w:r w:rsidR="004864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дипломн</w:t>
      </w:r>
      <w:r w:rsidR="006354AB"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их робіт для </w:t>
      </w:r>
      <w:r w:rsidR="004864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здобувач</w:t>
      </w:r>
      <w:r w:rsidR="006354AB"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ів </w:t>
      </w:r>
      <w:r w:rsidR="004864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вищої освіти</w:t>
      </w:r>
    </w:p>
    <w:p w:rsidR="001F6410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другого (магістерського) рівня</w:t>
      </w:r>
    </w:p>
    <w:p w:rsidR="001F6410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 спеціальності 014.01 Середня освіта (Українська мова і література)</w:t>
      </w:r>
    </w:p>
    <w:p w:rsidR="001F6410" w:rsidRDefault="00B1242E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Освітня програма</w:t>
      </w:r>
      <w:r w:rsidR="001F641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:</w:t>
      </w:r>
    </w:p>
    <w:p w:rsidR="001F6410" w:rsidRPr="006354AB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Середня освіта. Українська мова і література. Англійська мова і література</w:t>
      </w:r>
    </w:p>
    <w:p w:rsidR="001F6410" w:rsidRDefault="001F6410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на </w:t>
      </w:r>
      <w:r w:rsidR="00F97DF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2023-2024</w:t>
      </w:r>
      <w:r w:rsidR="000F7BD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 xml:space="preserve"> 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  <w:t>н.р.</w:t>
      </w:r>
    </w:p>
    <w:p w:rsidR="006048D4" w:rsidRDefault="006048D4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</w:p>
    <w:p w:rsidR="00911FF1" w:rsidRPr="00362B68" w:rsidRDefault="00362B68" w:rsidP="001F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uk-UA" w:eastAsia="ru-RU"/>
        </w:rPr>
      </w:pPr>
      <w:r w:rsidRPr="00362B6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uk-UA" w:eastAsia="ru-RU"/>
        </w:rPr>
        <w:t>(Протокол кафедри української мови №4 від 26.10.2023 р.)</w:t>
      </w:r>
    </w:p>
    <w:p w:rsidR="006048D4" w:rsidRPr="00F56344" w:rsidRDefault="006048D4" w:rsidP="00114B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uk-UA" w:eastAsia="ru-RU"/>
        </w:rPr>
      </w:pP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 Створення та використання мультимедійних матеріалів при </w:t>
      </w:r>
      <w:proofErr w:type="spellStart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онлайн-навчанні</w:t>
      </w:r>
      <w:proofErr w:type="spellEnd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української мови.</w:t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2. Методичні основи використання інтерактивних методів навчання на уроках української мови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3. Особливості вживання </w:t>
      </w:r>
      <w:proofErr w:type="spellStart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фемінітивів</w:t>
      </w:r>
      <w:proofErr w:type="spellEnd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сучасних україномовних  мас-медіа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4.Мовна реалізація </w:t>
      </w:r>
      <w:proofErr w:type="spellStart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концептосфери</w:t>
      </w:r>
      <w:proofErr w:type="spellEnd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романах  Івана Багряного «Сад Гетсиманський», «Людина біжить над прірвою»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5. Уроки української мови в умовах реалізації інклюзивної освіти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6. Частини мови в художньому мовленні як матеріал для вивчення на уроках української мови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7. Мова художніх творів </w:t>
      </w:r>
      <w:proofErr w:type="spellStart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Люко</w:t>
      </w:r>
      <w:proofErr w:type="spellEnd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>Дашвар</w:t>
      </w:r>
      <w:proofErr w:type="spellEnd"/>
      <w:r w:rsidRPr="00362B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як дидактичний матеріал на уроках української мови під час вивчення розділу «Фразеологія»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362B68" w:rsidRPr="00362B68" w:rsidRDefault="00362B68" w:rsidP="00362B68">
      <w:pPr>
        <w:shd w:val="clear" w:color="auto" w:fill="FFFFFF"/>
        <w:spacing w:after="0" w:line="360" w:lineRule="auto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8</w:t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 Суспільно-політичні неологізми в сучасній українській мові</w:t>
      </w:r>
      <w:r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</w:t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</w:p>
    <w:p w:rsidR="00362B68" w:rsidRPr="00362B68" w:rsidRDefault="00362B68" w:rsidP="00362B68">
      <w:pPr>
        <w:shd w:val="clear" w:color="auto" w:fill="FFFFFF"/>
        <w:spacing w:after="0" w:line="360" w:lineRule="auto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9</w:t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 Особливості формування граматичної компетенції засобами інформаційно-комунікаційних технологій</w:t>
      </w:r>
      <w:r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</w:t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</w:p>
    <w:p w:rsidR="00362B68" w:rsidRPr="00362B68" w:rsidRDefault="00362B68" w:rsidP="00362B68">
      <w:pPr>
        <w:shd w:val="clear" w:color="auto" w:fill="FFFFFF"/>
        <w:spacing w:after="0" w:line="360" w:lineRule="auto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 xml:space="preserve"> </w:t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Лексико-семантичні особливості суч</w:t>
      </w:r>
      <w:r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асної української дитячої прози.</w:t>
      </w: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ab/>
      </w:r>
    </w:p>
    <w:p w:rsidR="00362B68" w:rsidRPr="00362B68" w:rsidRDefault="00362B68" w:rsidP="00362B68">
      <w:pPr>
        <w:shd w:val="clear" w:color="auto" w:fill="FFFFFF"/>
        <w:spacing w:after="0" w:line="360" w:lineRule="auto"/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</w:pPr>
      <w:r w:rsidRPr="00362B68"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4. Мовна гра у сучасному рекламному тексті: функції та семантика</w:t>
      </w:r>
      <w:r>
        <w:rPr>
          <w:rFonts w:ascii="Times New Roman" w:hAnsi="Times New Roman"/>
          <w:bCs/>
          <w:color w:val="222222"/>
          <w:sz w:val="28"/>
          <w:szCs w:val="28"/>
          <w:lang w:val="uk-UA" w:eastAsia="ru-RU"/>
        </w:rPr>
        <w:t>.</w:t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</w:pPr>
      <w:r w:rsidRPr="00362B68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 xml:space="preserve">5. </w:t>
      </w:r>
      <w:proofErr w:type="spellStart"/>
      <w:r w:rsidRPr="00362B68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Колоративи</w:t>
      </w:r>
      <w:proofErr w:type="spellEnd"/>
      <w:r w:rsidRPr="00362B68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 xml:space="preserve"> в художніх текстах «неокласиків»</w:t>
      </w:r>
      <w:r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.</w:t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</w:pPr>
      <w:r w:rsidRPr="00362B68"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6. Засоби вираження образності в поетичних текстах Ліни Костенко</w:t>
      </w:r>
      <w:r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  <w:t>.</w:t>
      </w:r>
    </w:p>
    <w:p w:rsidR="00362B68" w:rsidRPr="00362B68" w:rsidRDefault="00362B68" w:rsidP="00362B68">
      <w:pPr>
        <w:spacing w:after="0" w:line="360" w:lineRule="auto"/>
        <w:jc w:val="both"/>
        <w:rPr>
          <w:rFonts w:ascii="Times New Roman" w:eastAsia="MS Mincho" w:hAnsi="Times New Roman"/>
          <w:color w:val="000000"/>
          <w:spacing w:val="-2"/>
          <w:kern w:val="1"/>
          <w:sz w:val="28"/>
          <w:szCs w:val="28"/>
          <w:lang w:val="uk-UA"/>
        </w:rPr>
      </w:pPr>
    </w:p>
    <w:p w:rsidR="006048D4" w:rsidRPr="00362B68" w:rsidRDefault="006048D4" w:rsidP="00362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 w:eastAsia="ru-RU"/>
        </w:rPr>
      </w:pPr>
    </w:p>
    <w:p w:rsidR="00F97DF7" w:rsidRPr="00F56344" w:rsidRDefault="00F97DF7" w:rsidP="00F97D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7DF7" w:rsidRPr="00F56344" w:rsidSect="00B90F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968"/>
    <w:multiLevelType w:val="hybridMultilevel"/>
    <w:tmpl w:val="D45666E4"/>
    <w:lvl w:ilvl="0" w:tplc="C220C6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D7295"/>
    <w:multiLevelType w:val="multilevel"/>
    <w:tmpl w:val="1266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6231F"/>
    <w:multiLevelType w:val="hybridMultilevel"/>
    <w:tmpl w:val="D43A7342"/>
    <w:lvl w:ilvl="0" w:tplc="B27E43B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7319"/>
    <w:multiLevelType w:val="hybridMultilevel"/>
    <w:tmpl w:val="E930595C"/>
    <w:lvl w:ilvl="0" w:tplc="6674E5C8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676617"/>
    <w:multiLevelType w:val="multilevel"/>
    <w:tmpl w:val="999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C76"/>
    <w:rsid w:val="000C2988"/>
    <w:rsid w:val="000F7BD5"/>
    <w:rsid w:val="00114BDB"/>
    <w:rsid w:val="00162127"/>
    <w:rsid w:val="001F2F03"/>
    <w:rsid w:val="001F6410"/>
    <w:rsid w:val="00206C76"/>
    <w:rsid w:val="00251434"/>
    <w:rsid w:val="002A19C4"/>
    <w:rsid w:val="003334A0"/>
    <w:rsid w:val="00362B68"/>
    <w:rsid w:val="00481059"/>
    <w:rsid w:val="0048646B"/>
    <w:rsid w:val="004F569A"/>
    <w:rsid w:val="00500D75"/>
    <w:rsid w:val="00540917"/>
    <w:rsid w:val="006048D4"/>
    <w:rsid w:val="00621642"/>
    <w:rsid w:val="006354AB"/>
    <w:rsid w:val="006764D5"/>
    <w:rsid w:val="007020AE"/>
    <w:rsid w:val="007361C2"/>
    <w:rsid w:val="00812E0D"/>
    <w:rsid w:val="00870366"/>
    <w:rsid w:val="008C090F"/>
    <w:rsid w:val="0090005C"/>
    <w:rsid w:val="00911FF1"/>
    <w:rsid w:val="00A05E81"/>
    <w:rsid w:val="00B1242E"/>
    <w:rsid w:val="00B34E9E"/>
    <w:rsid w:val="00B90F22"/>
    <w:rsid w:val="00B931F9"/>
    <w:rsid w:val="00C66115"/>
    <w:rsid w:val="00CA0479"/>
    <w:rsid w:val="00CF53AF"/>
    <w:rsid w:val="00D73462"/>
    <w:rsid w:val="00DC0C7C"/>
    <w:rsid w:val="00DC1D6C"/>
    <w:rsid w:val="00E00399"/>
    <w:rsid w:val="00EB69FE"/>
    <w:rsid w:val="00EB7707"/>
    <w:rsid w:val="00F56344"/>
    <w:rsid w:val="00F9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2021-10-05T05:39:00Z</dcterms:created>
  <dcterms:modified xsi:type="dcterms:W3CDTF">2024-04-23T08:55:00Z</dcterms:modified>
</cp:coreProperties>
</file>