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gjdgxs" w:colFirst="0" w:colLast="0"/>
    <w:bookmarkEnd w:id="0"/>
    <w:p w:rsidR="008D7E42" w:rsidRDefault="00000000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-427989</wp:posOffset>
                </wp:positionH>
                <wp:positionV relativeFrom="paragraph">
                  <wp:posOffset>146050</wp:posOffset>
                </wp:positionV>
                <wp:extent cx="7054850" cy="143510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4850" cy="1435100"/>
                          <a:chOff x="0" y="0"/>
                          <a:chExt cx="7054850" cy="143510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1750" y="673100"/>
                            <a:ext cx="68516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 rotWithShape="1">
                          <a:blip r:embed="rId6"/>
                          <a:srcRect l="6126" t="4961" r="1991" b="9992"/>
                          <a:stretch/>
                        </pic:blipFill>
                        <pic:spPr bwMode="auto">
                          <a:xfrm>
                            <a:off x="1625600" y="673100"/>
                            <a:ext cx="755650" cy="73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image1.pn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248150" y="666750"/>
                            <a:ext cx="7112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937250" y="666750"/>
                            <a:ext cx="1060450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7" name="image7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267200" y="12700"/>
                            <a:ext cx="2787650" cy="46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33750" y="19050"/>
                            <a:ext cx="81915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500" y="6350"/>
                            <a:ext cx="115824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3100"/>
                            <a:ext cx="641350" cy="666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-1" r="73512"/>
                          <a:stretch/>
                        </pic:blipFill>
                        <pic:spPr bwMode="auto">
                          <a:xfrm>
                            <a:off x="768350" y="660400"/>
                            <a:ext cx="74930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80165282" name="Рисунок 1" descr="Сілезька академія (Akademia Śląska), AŚ - Університети в ...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450" y="61595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l="9351" r="5455"/>
                          <a:stretch/>
                        </pic:blipFill>
                        <pic:spPr bwMode="auto">
                          <a:xfrm>
                            <a:off x="3327400" y="660400"/>
                            <a:ext cx="730250" cy="68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1949450" cy="441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-427989</wp:posOffset>
                </wp:positionH>
                <wp:positionV relativeFrom="paragraph">
                  <wp:posOffset>146050</wp:posOffset>
                </wp:positionV>
                <wp:extent cx="7054850" cy="1435100"/>
                <wp:effectExtent b="0" l="0" r="0" t="0"/>
                <wp:wrapNone/>
                <wp:docPr id="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0" cy="143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7E4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8D7E42" w:rsidRDefault="008D7E42">
      <w:pPr>
        <w:jc w:val="both"/>
        <w:rPr>
          <w:color w:val="000000"/>
          <w:sz w:val="28"/>
          <w:szCs w:val="28"/>
        </w:rPr>
      </w:pPr>
    </w:p>
    <w:p w:rsidR="008D7E42" w:rsidRDefault="008D7E42">
      <w:pPr>
        <w:jc w:val="center"/>
        <w:rPr>
          <w:color w:val="000000"/>
          <w:sz w:val="28"/>
          <w:szCs w:val="28"/>
        </w:rPr>
      </w:pPr>
    </w:p>
    <w:p w:rsidR="008D7E42" w:rsidRDefault="008D7E42">
      <w:pPr>
        <w:jc w:val="center"/>
        <w:rPr>
          <w:color w:val="000000"/>
          <w:sz w:val="28"/>
          <w:szCs w:val="28"/>
        </w:rPr>
      </w:pPr>
    </w:p>
    <w:p w:rsidR="008D7E42" w:rsidRDefault="008D7E42">
      <w:pPr>
        <w:jc w:val="center"/>
        <w:rPr>
          <w:color w:val="000000"/>
          <w:sz w:val="28"/>
          <w:szCs w:val="28"/>
        </w:rPr>
      </w:pPr>
    </w:p>
    <w:p w:rsidR="008D7E42" w:rsidRDefault="008D7E4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7E42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Міністерство освіти і науки України</w:t>
      </w:r>
    </w:p>
    <w:p w:rsidR="008D7E42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Мелітопольський державний педагогічний університет</w:t>
      </w:r>
    </w:p>
    <w:p w:rsidR="008D7E42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імені Богдана Хмельницького</w:t>
      </w:r>
    </w:p>
    <w:p w:rsidR="008D7E42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ДНУ «Інститут модернізації змісту освіти»</w:t>
      </w:r>
    </w:p>
    <w:p w:rsidR="008D7E42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освіти і науки Запорізької обласної державної адміністрації</w:t>
      </w:r>
    </w:p>
    <w:p w:rsidR="008D7E42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Інститут вищої освіти Національної академії педагогічних наук України</w:t>
      </w:r>
    </w:p>
    <w:p w:rsidR="008D7E42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Сумський державний педагогічний університет імені А.С. Макаренка</w:t>
      </w:r>
    </w:p>
    <w:p w:rsidR="008D7E42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 «</w:t>
      </w:r>
      <w:proofErr w:type="spellStart"/>
      <w:r>
        <w:rPr>
          <w:color w:val="000000"/>
          <w:sz w:val="28"/>
          <w:szCs w:val="28"/>
        </w:rPr>
        <w:t>Прогресильні</w:t>
      </w:r>
      <w:proofErr w:type="spellEnd"/>
      <w:r>
        <w:rPr>
          <w:color w:val="000000"/>
          <w:sz w:val="28"/>
          <w:szCs w:val="28"/>
        </w:rPr>
        <w:t>»</w:t>
      </w:r>
    </w:p>
    <w:p w:rsidR="008D7E42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Сілезька академія (Польща)</w:t>
      </w:r>
    </w:p>
    <w:p w:rsidR="008D7E42" w:rsidRDefault="00000000">
      <w:pPr>
        <w:widowControl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Шуменський</w:t>
      </w:r>
      <w:proofErr w:type="spellEnd"/>
      <w:r>
        <w:rPr>
          <w:color w:val="000000"/>
          <w:sz w:val="28"/>
          <w:szCs w:val="28"/>
        </w:rPr>
        <w:t xml:space="preserve"> університет «Єпископ Костянтин </w:t>
      </w:r>
      <w:proofErr w:type="spellStart"/>
      <w:r>
        <w:rPr>
          <w:color w:val="000000"/>
          <w:sz w:val="28"/>
          <w:szCs w:val="28"/>
        </w:rPr>
        <w:t>Преславський</w:t>
      </w:r>
      <w:proofErr w:type="spellEnd"/>
      <w:r>
        <w:rPr>
          <w:color w:val="000000"/>
          <w:sz w:val="28"/>
          <w:szCs w:val="28"/>
        </w:rPr>
        <w:t>» (Болгарія)</w:t>
      </w:r>
    </w:p>
    <w:p w:rsidR="008D7E42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 англійських і американських студій, </w:t>
      </w:r>
      <w:proofErr w:type="spellStart"/>
      <w:r>
        <w:rPr>
          <w:color w:val="000000"/>
          <w:sz w:val="28"/>
          <w:szCs w:val="28"/>
        </w:rPr>
        <w:t>Eötvös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Loránd</w:t>
      </w:r>
      <w:proofErr w:type="spellEnd"/>
      <w:r>
        <w:rPr>
          <w:color w:val="000000"/>
          <w:sz w:val="28"/>
          <w:szCs w:val="28"/>
        </w:rPr>
        <w:t xml:space="preserve"> Університет (Угорщина) </w:t>
      </w:r>
    </w:p>
    <w:p w:rsidR="008D7E42" w:rsidRDefault="00000000">
      <w:pPr>
        <w:widowControl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Бєльцький</w:t>
      </w:r>
      <w:proofErr w:type="spellEnd"/>
      <w:r>
        <w:rPr>
          <w:color w:val="000000"/>
          <w:sz w:val="28"/>
          <w:szCs w:val="28"/>
        </w:rPr>
        <w:t xml:space="preserve"> державний університет імені </w:t>
      </w:r>
      <w:proofErr w:type="spellStart"/>
      <w:r>
        <w:rPr>
          <w:color w:val="000000"/>
          <w:sz w:val="28"/>
          <w:szCs w:val="28"/>
        </w:rPr>
        <w:t>Алеку</w:t>
      </w:r>
      <w:proofErr w:type="spellEnd"/>
      <w:r>
        <w:rPr>
          <w:color w:val="000000"/>
          <w:sz w:val="28"/>
          <w:szCs w:val="28"/>
        </w:rPr>
        <w:t xml:space="preserve"> Руссо (Молдова)</w:t>
      </w:r>
    </w:p>
    <w:p w:rsidR="008D7E42" w:rsidRDefault="00000000">
      <w:pPr>
        <w:widowControl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Cäcilienshule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Німеччина)</w:t>
      </w:r>
    </w:p>
    <w:p w:rsidR="008D7E42" w:rsidRDefault="008D7E42">
      <w:pPr>
        <w:jc w:val="center"/>
        <w:rPr>
          <w:sz w:val="28"/>
          <w:szCs w:val="28"/>
          <w:highlight w:val="yellow"/>
        </w:rPr>
      </w:pPr>
    </w:p>
    <w:p w:rsidR="008D7E42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2402840</wp:posOffset>
            </wp:positionH>
            <wp:positionV relativeFrom="paragraph">
              <wp:posOffset>24765</wp:posOffset>
            </wp:positionV>
            <wp:extent cx="1314450" cy="1314450"/>
            <wp:effectExtent l="0" t="0" r="0" b="0"/>
            <wp:wrapNone/>
            <wp:docPr id="19173626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E42" w:rsidRDefault="008D7E42">
      <w:pPr>
        <w:jc w:val="center"/>
        <w:rPr>
          <w:b/>
          <w:smallCaps/>
          <w:color w:val="000000"/>
          <w:sz w:val="28"/>
          <w:szCs w:val="28"/>
        </w:rPr>
      </w:pPr>
    </w:p>
    <w:p w:rsidR="008D7E42" w:rsidRDefault="008D7E42">
      <w:pPr>
        <w:jc w:val="center"/>
        <w:rPr>
          <w:smallCaps/>
          <w:color w:val="000000"/>
          <w:sz w:val="28"/>
          <w:szCs w:val="28"/>
        </w:rPr>
      </w:pPr>
    </w:p>
    <w:p w:rsidR="008D7E42" w:rsidRDefault="008D7E42">
      <w:pPr>
        <w:jc w:val="center"/>
        <w:rPr>
          <w:smallCaps/>
          <w:color w:val="000000"/>
          <w:sz w:val="28"/>
          <w:szCs w:val="28"/>
        </w:rPr>
      </w:pPr>
    </w:p>
    <w:p w:rsidR="008D7E42" w:rsidRDefault="008D7E42">
      <w:pPr>
        <w:jc w:val="center"/>
        <w:rPr>
          <w:smallCaps/>
          <w:color w:val="000000"/>
          <w:sz w:val="28"/>
          <w:szCs w:val="28"/>
        </w:rPr>
      </w:pPr>
    </w:p>
    <w:p w:rsidR="008D7E42" w:rsidRDefault="008D7E42">
      <w:pPr>
        <w:jc w:val="center"/>
        <w:rPr>
          <w:smallCaps/>
          <w:color w:val="000000"/>
          <w:sz w:val="28"/>
          <w:szCs w:val="28"/>
        </w:rPr>
      </w:pPr>
    </w:p>
    <w:p w:rsidR="008D7E42" w:rsidRDefault="008D7E42">
      <w:pPr>
        <w:jc w:val="center"/>
        <w:rPr>
          <w:smallCaps/>
          <w:color w:val="000000"/>
          <w:sz w:val="28"/>
          <w:szCs w:val="28"/>
        </w:rPr>
      </w:pPr>
    </w:p>
    <w:p w:rsidR="008D7E42" w:rsidRDefault="00000000">
      <w:pPr>
        <w:jc w:val="center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ШАНОВНІ КОЛЕГИ!</w:t>
      </w:r>
    </w:p>
    <w:p w:rsidR="008D7E42" w:rsidRDefault="008D7E42">
      <w:pPr>
        <w:jc w:val="center"/>
        <w:rPr>
          <w:smallCaps/>
          <w:color w:val="000000"/>
          <w:sz w:val="28"/>
          <w:szCs w:val="28"/>
        </w:rPr>
      </w:pPr>
    </w:p>
    <w:p w:rsidR="008D7E42" w:rsidRDefault="0000000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Запрошуємо Вас взяти участь</w:t>
      </w:r>
      <w:r>
        <w:rPr>
          <w:smallCaps/>
          <w:color w:val="000000"/>
          <w:sz w:val="28"/>
          <w:szCs w:val="28"/>
        </w:rPr>
        <w:t xml:space="preserve"> </w:t>
      </w:r>
    </w:p>
    <w:p w:rsidR="008D7E42" w:rsidRDefault="00000000">
      <w:pPr>
        <w:spacing w:line="360" w:lineRule="auto"/>
        <w:jc w:val="center"/>
        <w:rPr>
          <w:small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smallCaps/>
          <w:color w:val="000000"/>
          <w:sz w:val="28"/>
          <w:szCs w:val="28"/>
        </w:rPr>
        <w:t xml:space="preserve"> ІІ МІЖНАРОДНІЙ НАУКОВО-ПРАКТИЧНІЙ КОНФЕРЕНЦІЇ </w:t>
      </w:r>
    </w:p>
    <w:p w:rsidR="008D7E42" w:rsidRDefault="00000000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«СУЧАСНА ВИЩА ОСВІТА: ДОСЯГНЕННЯ, ВИКЛИКИ ТА ПЕРСПЕКТИВИ РОЗВИТКУ В УМОВАХ НЕВИЗНАЧЕНОСТІ»</w:t>
      </w:r>
    </w:p>
    <w:p w:rsidR="008D7E42" w:rsidRDefault="008D7E42">
      <w:pPr>
        <w:spacing w:line="360" w:lineRule="auto"/>
        <w:jc w:val="center"/>
        <w:rPr>
          <w:b/>
          <w:color w:val="000000"/>
          <w:sz w:val="32"/>
          <w:szCs w:val="32"/>
        </w:rPr>
      </w:pPr>
    </w:p>
    <w:p w:rsidR="008D7E42" w:rsidRDefault="00000000">
      <w:pPr>
        <w:spacing w:line="360" w:lineRule="auto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Запоріжжя, 04–05 жовтня 2024 року</w:t>
      </w:r>
    </w:p>
    <w:p w:rsidR="008D7E42" w:rsidRDefault="008D7E42">
      <w:pPr>
        <w:spacing w:line="360" w:lineRule="auto"/>
        <w:rPr>
          <w:color w:val="000000"/>
          <w:sz w:val="28"/>
          <w:szCs w:val="28"/>
        </w:rPr>
      </w:pPr>
    </w:p>
    <w:p w:rsidR="008D7E42" w:rsidRDefault="008D7E42">
      <w:pPr>
        <w:spacing w:line="276" w:lineRule="auto"/>
        <w:ind w:firstLine="426"/>
        <w:rPr>
          <w:color w:val="000000"/>
          <w:sz w:val="28"/>
          <w:szCs w:val="28"/>
        </w:rPr>
      </w:pPr>
    </w:p>
    <w:p w:rsidR="008D7E42" w:rsidRDefault="008D7E42">
      <w:pPr>
        <w:spacing w:line="276" w:lineRule="auto"/>
        <w:ind w:firstLine="426"/>
        <w:rPr>
          <w:color w:val="000000"/>
          <w:sz w:val="28"/>
          <w:szCs w:val="28"/>
        </w:rPr>
      </w:pPr>
    </w:p>
    <w:p w:rsidR="008D7E42" w:rsidRDefault="008D7E42">
      <w:pPr>
        <w:spacing w:line="276" w:lineRule="auto"/>
        <w:ind w:firstLine="426"/>
        <w:rPr>
          <w:color w:val="000000"/>
          <w:sz w:val="28"/>
          <w:szCs w:val="28"/>
        </w:rPr>
      </w:pPr>
    </w:p>
    <w:p w:rsidR="008D7E42" w:rsidRDefault="00000000">
      <w:pPr>
        <w:spacing w:line="276" w:lineRule="auto"/>
        <w:ind w:firstLine="42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Планується робота таких </w:t>
      </w:r>
      <w:r>
        <w:rPr>
          <w:b/>
          <w:color w:val="000000"/>
          <w:sz w:val="28"/>
          <w:szCs w:val="28"/>
        </w:rPr>
        <w:t>секцій:</w:t>
      </w:r>
    </w:p>
    <w:p w:rsidR="008D7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Тенденції розвитку вищої освіти в Україні та за кордоном. </w:t>
      </w:r>
    </w:p>
    <w:p w:rsidR="008D7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Третя місія університетів – шлях до конструктивної співпраці заради сталого розвитку.</w:t>
      </w:r>
    </w:p>
    <w:p w:rsidR="008D7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Цифрова трансформація вищої освіти та її вплив на відновлення України і її зовнішньоекономічних </w:t>
      </w:r>
      <w:proofErr w:type="spellStart"/>
      <w:r>
        <w:rPr>
          <w:color w:val="000000"/>
          <w:sz w:val="28"/>
          <w:szCs w:val="28"/>
        </w:rPr>
        <w:t>зв’язків</w:t>
      </w:r>
      <w:proofErr w:type="spellEnd"/>
      <w:r>
        <w:rPr>
          <w:color w:val="000000"/>
          <w:sz w:val="28"/>
          <w:szCs w:val="28"/>
        </w:rPr>
        <w:t>.</w:t>
      </w:r>
    </w:p>
    <w:p w:rsidR="008D7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Актуальні проблеми професійної підготовки майбутніх освітян в контексті реалізації Концепції Нової української школи та інших реформ. </w:t>
      </w:r>
    </w:p>
    <w:p w:rsidR="008D7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Освітні технології як засіб підвищення якості вищої освіти, створення умов для її адаптивності.</w:t>
      </w:r>
    </w:p>
    <w:p w:rsidR="008D7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Актуальні проблеми підготовки освітян до професійної діяльності  в умовах інклюзивної освіти. </w:t>
      </w:r>
    </w:p>
    <w:p w:rsidR="008D7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Зв’язок вищої освіти із дошкільною, початковою, загальною середньою, професійно-технічною і фаховою </w:t>
      </w:r>
      <w:proofErr w:type="spellStart"/>
      <w:r>
        <w:rPr>
          <w:color w:val="000000"/>
          <w:sz w:val="28"/>
          <w:szCs w:val="28"/>
        </w:rPr>
        <w:t>передвищою</w:t>
      </w:r>
      <w:proofErr w:type="spellEnd"/>
      <w:r>
        <w:rPr>
          <w:color w:val="000000"/>
          <w:sz w:val="28"/>
          <w:szCs w:val="28"/>
        </w:rPr>
        <w:t xml:space="preserve"> освітами.</w:t>
      </w:r>
    </w:p>
    <w:p w:rsidR="008D7E42" w:rsidRDefault="008D7E42">
      <w:pP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8D7E42" w:rsidRDefault="00000000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Метою конференції</w:t>
      </w:r>
      <w:r>
        <w:rPr>
          <w:color w:val="000000"/>
          <w:sz w:val="28"/>
          <w:szCs w:val="28"/>
        </w:rPr>
        <w:t xml:space="preserve"> є визначення концептуальних підходів та стратегій перспективного розвитку вищої освіти в Україні і за кордоном, її місця в загальній системі освіти, створення єдиного простору для обговорення її досягнень, викликів і перспектив подальшого розвитку, аналітика впливу критичних чинників (пандемія, війна тощо) на окремі її галузі та у глобальному масштабі, встановлення наукових контактів між освітянами і вченими різних країн, обмін результатами досліджень і досвідом реформування галузі вищої освіти у критичні періоди пандемії та війни, а також під час пост-воєнного відновлення України.  </w:t>
      </w:r>
    </w:p>
    <w:p w:rsidR="008D7E42" w:rsidRDefault="008D7E42">
      <w:pP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Конференція пройде </w:t>
      </w:r>
      <w:r>
        <w:rPr>
          <w:b/>
          <w:color w:val="000000"/>
          <w:sz w:val="28"/>
          <w:szCs w:val="28"/>
        </w:rPr>
        <w:t>у змішаному форматі.</w:t>
      </w:r>
    </w:p>
    <w:p w:rsidR="008D7E42" w:rsidRDefault="008D7E42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Програма конференції передбачає організацію та проведення </w:t>
      </w:r>
      <w:r>
        <w:rPr>
          <w:b/>
          <w:color w:val="000000"/>
          <w:sz w:val="28"/>
          <w:szCs w:val="28"/>
        </w:rPr>
        <w:t>майстер-класів</w:t>
      </w:r>
      <w:r>
        <w:rPr>
          <w:color w:val="000000"/>
          <w:sz w:val="28"/>
          <w:szCs w:val="28"/>
        </w:rPr>
        <w:t>, інформація про які буде надіслана пізніше.</w:t>
      </w: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05.10.2024 р. відбудуться засідання </w:t>
      </w:r>
      <w:r>
        <w:rPr>
          <w:b/>
          <w:color w:val="000000"/>
          <w:sz w:val="28"/>
          <w:szCs w:val="28"/>
        </w:rPr>
        <w:t>круглих столів:</w:t>
      </w: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“</w:t>
      </w:r>
      <w:proofErr w:type="spellStart"/>
      <w:r>
        <w:rPr>
          <w:color w:val="000000"/>
          <w:sz w:val="28"/>
          <w:szCs w:val="28"/>
        </w:rPr>
        <w:t>Europe-oriented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Ukrainian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Foreign</w:t>
      </w:r>
      <w:proofErr w:type="spellEnd"/>
      <w:r>
        <w:rPr>
          <w:color w:val="000000"/>
          <w:sz w:val="28"/>
          <w:szCs w:val="28"/>
        </w:rPr>
        <w:t xml:space="preserve"> language </w:t>
      </w:r>
      <w:proofErr w:type="spellStart"/>
      <w:r>
        <w:rPr>
          <w:color w:val="000000"/>
          <w:sz w:val="28"/>
          <w:szCs w:val="28"/>
        </w:rPr>
        <w:t>teacher</w:t>
      </w:r>
      <w:proofErr w:type="spellEnd"/>
      <w:r>
        <w:rPr>
          <w:color w:val="000000"/>
          <w:sz w:val="28"/>
          <w:szCs w:val="28"/>
        </w:rPr>
        <w:t>”;</w:t>
      </w: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«Інноваційні траєкторії розвитку психологічних служб закладів вищої освіти в умовах викликів і змін».</w:t>
      </w:r>
    </w:p>
    <w:p w:rsidR="008D7E42" w:rsidRDefault="008D7E42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Матеріали конференції будуть опубліковані в збірнику матеріалів конференції </w:t>
      </w:r>
      <w:r>
        <w:rPr>
          <w:b/>
          <w:color w:val="000000"/>
          <w:sz w:val="28"/>
          <w:szCs w:val="28"/>
        </w:rPr>
        <w:t>«Сучасна вища освіта: досягнення, виклики та перспективи розвитку в умовах невизначеності»</w:t>
      </w:r>
      <w:r>
        <w:rPr>
          <w:color w:val="000000"/>
          <w:sz w:val="28"/>
          <w:szCs w:val="28"/>
        </w:rPr>
        <w:t xml:space="preserve"> упродовж місяця з дати її проведення.</w:t>
      </w: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Учасники конференції матимуть нагоду опублікувати результати власних досліджень у </w:t>
      </w:r>
      <w:r>
        <w:rPr>
          <w:b/>
          <w:color w:val="000000"/>
          <w:sz w:val="28"/>
          <w:szCs w:val="28"/>
        </w:rPr>
        <w:t>Науковому віснику Мелітопольського державного педагогічного університету імені Богдана Хмельницького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Серія: Педагогіка.</w:t>
      </w:r>
      <w:r>
        <w:rPr>
          <w:color w:val="000000"/>
          <w:sz w:val="28"/>
          <w:szCs w:val="28"/>
        </w:rPr>
        <w:t xml:space="preserve"> Журнал </w:t>
      </w:r>
      <w:proofErr w:type="spellStart"/>
      <w:r>
        <w:rPr>
          <w:color w:val="000000"/>
          <w:sz w:val="28"/>
          <w:szCs w:val="28"/>
        </w:rPr>
        <w:t>внесено</w:t>
      </w:r>
      <w:proofErr w:type="spellEnd"/>
      <w:r>
        <w:rPr>
          <w:color w:val="000000"/>
          <w:sz w:val="28"/>
          <w:szCs w:val="28"/>
        </w:rPr>
        <w:t xml:space="preserve"> до реєстру наукових фахових видань України категорії Б (наказ Міністерства  освіти і науки України від 02.07.2020 № 886). Статті подаються тільки в електронній версії (pedagogy@mdpu.org.ua) або завантажуються безпосередньо через інтерфейс OJS (</w:t>
      </w:r>
      <w:hyperlink r:id="rId20">
        <w:r>
          <w:rPr>
            <w:color w:val="000000"/>
            <w:sz w:val="28"/>
            <w:szCs w:val="28"/>
          </w:rPr>
          <w:t>http://ojs.mdpu.org.ua/index.php/nv</w:t>
        </w:r>
      </w:hyperlink>
      <w:r>
        <w:rPr>
          <w:color w:val="000000"/>
          <w:sz w:val="28"/>
          <w:szCs w:val="28"/>
        </w:rPr>
        <w:t>).</w:t>
      </w: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Вимоги до оформлення статей – за посиланням:</w:t>
      </w:r>
      <w:r>
        <w:rPr>
          <w:color w:val="000000"/>
        </w:rPr>
        <w:t xml:space="preserve"> </w:t>
      </w:r>
      <w:hyperlink r:id="rId21">
        <w:r>
          <w:rPr>
            <w:color w:val="000000"/>
            <w:sz w:val="28"/>
            <w:szCs w:val="28"/>
            <w:u w:val="single"/>
          </w:rPr>
          <w:t>http://magazine.mdpu.org.ua/index.php/nv/about/submissions</w:t>
        </w:r>
      </w:hyperlink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  <w:shd w:val="clear" w:color="auto" w:fill="FFD966"/>
        </w:rPr>
      </w:pPr>
      <w:r>
        <w:rPr>
          <w:b/>
          <w:i/>
          <w:color w:val="000000"/>
          <w:sz w:val="28"/>
          <w:szCs w:val="28"/>
        </w:rPr>
        <w:lastRenderedPageBreak/>
        <w:t>Робочі мови конференції:</w:t>
      </w:r>
      <w:r>
        <w:rPr>
          <w:color w:val="000000"/>
          <w:sz w:val="28"/>
          <w:szCs w:val="28"/>
        </w:rPr>
        <w:t xml:space="preserve"> українська, англійська, німецька, болгарська, польська.</w:t>
      </w: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Організаційний внесок</w:t>
      </w:r>
      <w:r>
        <w:rPr>
          <w:color w:val="000000"/>
          <w:sz w:val="28"/>
          <w:szCs w:val="28"/>
        </w:rPr>
        <w:t xml:space="preserve"> становить 200 гривень (</w:t>
      </w:r>
      <w:r>
        <w:rPr>
          <w:sz w:val="28"/>
          <w:szCs w:val="28"/>
        </w:rPr>
        <w:t>50 %</w:t>
      </w:r>
      <w:r>
        <w:rPr>
          <w:color w:val="000000"/>
          <w:sz w:val="28"/>
          <w:szCs w:val="28"/>
        </w:rPr>
        <w:t xml:space="preserve"> зібран</w:t>
      </w:r>
      <w:r>
        <w:rPr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кошт</w:t>
      </w:r>
      <w:r>
        <w:rPr>
          <w:sz w:val="28"/>
          <w:szCs w:val="28"/>
        </w:rPr>
        <w:t>ів</w:t>
      </w:r>
      <w:r>
        <w:rPr>
          <w:color w:val="000000"/>
          <w:sz w:val="28"/>
          <w:szCs w:val="28"/>
        </w:rPr>
        <w:t xml:space="preserve"> будуть перераховані на потреби ЗСУ). </w:t>
      </w: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участі в конференції необхідно </w:t>
      </w:r>
      <w:r>
        <w:rPr>
          <w:b/>
          <w:color w:val="000000"/>
          <w:sz w:val="28"/>
          <w:szCs w:val="28"/>
        </w:rPr>
        <w:t>до 27 вересня 2024 року</w:t>
      </w:r>
      <w:r>
        <w:rPr>
          <w:color w:val="000000"/>
          <w:sz w:val="28"/>
          <w:szCs w:val="28"/>
        </w:rPr>
        <w:t xml:space="preserve"> подати заявку (оформлюється українською або англійською мовами), тези доповіді та </w:t>
      </w:r>
      <w:proofErr w:type="spellStart"/>
      <w:r>
        <w:rPr>
          <w:color w:val="000000"/>
          <w:sz w:val="28"/>
          <w:szCs w:val="28"/>
        </w:rPr>
        <w:t>скан</w:t>
      </w:r>
      <w:proofErr w:type="spellEnd"/>
      <w:r>
        <w:rPr>
          <w:color w:val="000000"/>
          <w:sz w:val="28"/>
          <w:szCs w:val="28"/>
        </w:rPr>
        <w:t xml:space="preserve">-копію (фото) чеку, що підтверджує сплату організаційного внеску в сумі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00 грн. (банківська картка: 5169335100211966 на ім’я Проценка Андрія Анатолійовича) за посиланням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на Гугл-форму:</w:t>
      </w:r>
      <w:r>
        <w:rPr>
          <w:color w:val="000000"/>
        </w:rPr>
        <w:t xml:space="preserve"> </w:t>
      </w:r>
      <w:hyperlink r:id="rId22">
        <w:r>
          <w:rPr>
            <w:color w:val="0563C1"/>
            <w:sz w:val="28"/>
            <w:szCs w:val="28"/>
            <w:u w:val="single"/>
          </w:rPr>
          <w:t>https://forms.gle/WfxAuifTgtr5ag7k9</w:t>
        </w:r>
      </w:hyperlink>
      <w:r>
        <w:rPr>
          <w:sz w:val="28"/>
          <w:szCs w:val="28"/>
        </w:rPr>
        <w:t>.</w:t>
      </w:r>
    </w:p>
    <w:p w:rsidR="008D7E42" w:rsidRDefault="00000000">
      <w:pPr>
        <w:tabs>
          <w:tab w:val="left" w:pos="5954"/>
        </w:tabs>
        <w:spacing w:line="276" w:lineRule="auto"/>
        <w:ind w:right="-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Адреса для листування:  </w:t>
      </w:r>
      <w:hyperlink r:id="rId23">
        <w:r>
          <w:rPr>
            <w:color w:val="0563C1"/>
            <w:sz w:val="28"/>
            <w:szCs w:val="28"/>
            <w:u w:val="single"/>
          </w:rPr>
          <w:t>conferenceMSPU100@gmail.com</w:t>
        </w:r>
      </w:hyperlink>
    </w:p>
    <w:p w:rsidR="008D7E42" w:rsidRDefault="00000000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Телефони для довідок: +380975065430</w:t>
      </w:r>
    </w:p>
    <w:p w:rsidR="008D7E42" w:rsidRDefault="00000000">
      <w:pPr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+380687900171</w:t>
      </w:r>
    </w:p>
    <w:p w:rsidR="008D7E42" w:rsidRDefault="008D7E42">
      <w:pPr>
        <w:jc w:val="center"/>
        <w:rPr>
          <w:b/>
          <w:color w:val="000000"/>
          <w:sz w:val="28"/>
          <w:szCs w:val="28"/>
        </w:rPr>
      </w:pPr>
    </w:p>
    <w:p w:rsidR="008D7E42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ВИМОГИ ДО ОФОРМЛЕННЯ ТЕЗ </w:t>
      </w:r>
    </w:p>
    <w:p w:rsidR="008D7E42" w:rsidRDefault="0000000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 подаються у редакторі Microsoft Word (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New </w:t>
      </w:r>
      <w:proofErr w:type="spellStart"/>
      <w:r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>, розмір – 14, міжрядковий інтервал – 1,5, абзацний відступ – 1 см, усі береги – 2 см) у форматі .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 без переносів у словах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Прізвище та ініціали друкуються праворуч у верхньому куті. Назва тез доповіді – великими літерами жирним шрифтом посередині симетрично до тексту. Основний текст друкується через один рядок після назви. Список використаних джерел подавати в алфавітному порядку, посилання в тексті робити у квадратних дужках, зазначаючи номер джерела та сторінку: [1, с. 45].</w:t>
      </w:r>
    </w:p>
    <w:p w:rsidR="008D7E42" w:rsidRDefault="0000000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Зразок оформлення </w:t>
      </w:r>
    </w:p>
    <w:p w:rsidR="008D7E42" w:rsidRDefault="00000000">
      <w:pPr>
        <w:spacing w:line="276" w:lineRule="auto"/>
        <w:ind w:left="5672" w:firstLine="5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І. Р. Чорна</w:t>
      </w:r>
    </w:p>
    <w:tbl>
      <w:tblPr>
        <w:tblStyle w:val="a5"/>
        <w:tblW w:w="3434" w:type="dxa"/>
        <w:tblInd w:w="6204" w:type="dxa"/>
        <w:tblLayout w:type="fixed"/>
        <w:tblLook w:val="0400" w:firstRow="0" w:lastRow="0" w:firstColumn="0" w:lastColumn="0" w:noHBand="0" w:noVBand="1"/>
      </w:tblPr>
      <w:tblGrid>
        <w:gridCol w:w="3434"/>
      </w:tblGrid>
      <w:tr w:rsidR="008D7E42">
        <w:tc>
          <w:tcPr>
            <w:tcW w:w="3434" w:type="dxa"/>
            <w:shd w:val="clear" w:color="auto" w:fill="auto"/>
          </w:tcPr>
          <w:p w:rsidR="008D7E42" w:rsidRDefault="0000000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Мелітопольський державний педагогічний університет імені Богдана Хмельницького</w:t>
            </w:r>
          </w:p>
        </w:tc>
      </w:tr>
    </w:tbl>
    <w:p w:rsidR="008D7E42" w:rsidRDefault="008D7E4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D7E42" w:rsidRDefault="0000000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НАЗВА СТАТТІ</w:t>
      </w:r>
    </w:p>
    <w:p w:rsidR="008D7E42" w:rsidRDefault="008D7E4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D7E42" w:rsidRDefault="00000000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Текст…………………………………………………………………………….</w:t>
      </w:r>
    </w:p>
    <w:p w:rsidR="008D7E42" w:rsidRDefault="008D7E4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8D7E42" w:rsidRDefault="0000000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ВИКОРИСТАНИХ ДЖЕРЕЛ</w:t>
      </w:r>
    </w:p>
    <w:p w:rsidR="008D7E42" w:rsidRDefault="00000000">
      <w:pPr>
        <w:numPr>
          <w:ilvl w:val="2"/>
          <w:numId w:val="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Тимошенко З. І. Болонський процес в дії: словник-довідник. К.: </w:t>
      </w:r>
      <w:proofErr w:type="spellStart"/>
      <w:r>
        <w:rPr>
          <w:color w:val="000000"/>
          <w:sz w:val="28"/>
          <w:szCs w:val="28"/>
        </w:rPr>
        <w:t>Європ</w:t>
      </w:r>
      <w:proofErr w:type="spellEnd"/>
      <w:r>
        <w:rPr>
          <w:color w:val="000000"/>
          <w:sz w:val="28"/>
          <w:szCs w:val="28"/>
        </w:rPr>
        <w:t>. ун-т, 2007. 219 с.</w:t>
      </w:r>
    </w:p>
    <w:sectPr w:rsidR="008D7E42">
      <w:pgSz w:w="11906" w:h="16838"/>
      <w:pgMar w:top="360" w:right="1134" w:bottom="35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26B"/>
    <w:multiLevelType w:val="multilevel"/>
    <w:tmpl w:val="EA08C1B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2102EB"/>
    <w:multiLevelType w:val="multilevel"/>
    <w:tmpl w:val="341EA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05445150">
    <w:abstractNumId w:val="1"/>
  </w:num>
  <w:num w:numId="2" w16cid:durableId="34559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42"/>
    <w:rsid w:val="008D7E42"/>
    <w:rsid w:val="00C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B1A67F0-2CA3-9744-8D17-AEBCA2EB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://magazine.mdpu.org.ua/index.php/nv/about/submissions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ojs.mdpu.org.ua/index.php/n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hyperlink" Target="mailto:conferenceMSPU100@gmail.co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forms.gle/WfxAuifTgtr5ag7k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Маслова</cp:lastModifiedBy>
  <cp:revision>2</cp:revision>
  <dcterms:created xsi:type="dcterms:W3CDTF">2024-09-11T06:57:00Z</dcterms:created>
  <dcterms:modified xsi:type="dcterms:W3CDTF">2024-09-11T06:57:00Z</dcterms:modified>
</cp:coreProperties>
</file>